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12" w:rsidRPr="00C269B4" w:rsidRDefault="004D5812" w:rsidP="00D1740D">
      <w:pPr>
        <w:jc w:val="center"/>
        <w:rPr>
          <w:b/>
          <w:sz w:val="32"/>
          <w:szCs w:val="32"/>
          <w:lang w:val="en-GB"/>
        </w:rPr>
      </w:pPr>
    </w:p>
    <w:tbl>
      <w:tblPr>
        <w:tblStyle w:val="a"/>
        <w:tblW w:w="97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1"/>
        <w:gridCol w:w="5731"/>
      </w:tblGrid>
      <w:tr w:rsidR="00205A53" w:rsidRPr="00FC23C1" w:rsidTr="00C27B0E">
        <w:trPr>
          <w:trHeight w:val="519"/>
        </w:trPr>
        <w:tc>
          <w:tcPr>
            <w:tcW w:w="40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b/>
                <w:sz w:val="24"/>
                <w:szCs w:val="24"/>
                <w:lang w:val="ro-RO"/>
              </w:rPr>
            </w:pPr>
            <w:r w:rsidRPr="00FC23C1">
              <w:rPr>
                <w:rFonts w:ascii="Times New Roman" w:eastAsia="Times New Roman" w:hAnsi="Times New Roman" w:cs="Times New Roman"/>
                <w:b/>
                <w:sz w:val="24"/>
                <w:szCs w:val="24"/>
                <w:lang w:val="ro-RO"/>
              </w:rPr>
              <w:t xml:space="preserve">Titlul analizei impactului </w:t>
            </w:r>
          </w:p>
          <w:p w:rsidR="00205A53" w:rsidRPr="00FC23C1" w:rsidRDefault="00205A53" w:rsidP="00205A53">
            <w:pPr>
              <w:pBdr>
                <w:top w:val="nil"/>
                <w:left w:val="nil"/>
                <w:bottom w:val="nil"/>
                <w:right w:val="nil"/>
                <w:between w:val="nil"/>
              </w:pBdr>
              <w:rPr>
                <w:rFonts w:ascii="Times New Roman" w:eastAsia="Times New Roman" w:hAnsi="Times New Roman" w:cs="Times New Roman"/>
                <w:b/>
                <w:sz w:val="24"/>
                <w:szCs w:val="24"/>
                <w:lang w:val="ro-RO"/>
              </w:rPr>
            </w:pPr>
          </w:p>
        </w:tc>
        <w:tc>
          <w:tcPr>
            <w:tcW w:w="5731" w:type="dxa"/>
            <w:tcBorders>
              <w:top w:val="single" w:sz="4" w:space="0" w:color="000000"/>
              <w:left w:val="single" w:sz="4" w:space="0" w:color="000000"/>
              <w:bottom w:val="single" w:sz="4" w:space="0" w:color="000000"/>
              <w:right w:val="single" w:sz="4" w:space="0" w:color="000000"/>
            </w:tcBorders>
            <w:vAlign w:val="center"/>
          </w:tcPr>
          <w:p w:rsidR="00205A53" w:rsidRPr="00C03671" w:rsidRDefault="00C03671" w:rsidP="009D488C">
            <w:pPr>
              <w:jc w:val="both"/>
              <w:rPr>
                <w:rFonts w:ascii="Times New Roman" w:hAnsi="Times New Roman" w:cs="Times New Roman"/>
                <w:b/>
                <w:sz w:val="24"/>
                <w:szCs w:val="24"/>
                <w:lang w:val="ro-RO"/>
              </w:rPr>
            </w:pPr>
            <w:r w:rsidRPr="00637F7D">
              <w:rPr>
                <w:rFonts w:ascii="Times New Roman" w:eastAsia="Times New Roman" w:hAnsi="Times New Roman" w:cs="Times New Roman"/>
                <w:b/>
                <w:sz w:val="24"/>
                <w:szCs w:val="24"/>
                <w:lang w:val="ro-RO"/>
              </w:rPr>
              <w:t>Metod</w:t>
            </w:r>
            <w:r w:rsidR="009D488C" w:rsidRPr="00637F7D">
              <w:rPr>
                <w:rFonts w:ascii="Times New Roman" w:eastAsia="Times New Roman" w:hAnsi="Times New Roman" w:cs="Times New Roman"/>
                <w:b/>
                <w:sz w:val="24"/>
                <w:szCs w:val="24"/>
                <w:lang w:val="ro-RO"/>
              </w:rPr>
              <w:t>ologia</w:t>
            </w:r>
            <w:r w:rsidRPr="00637F7D">
              <w:rPr>
                <w:rFonts w:ascii="Times New Roman" w:eastAsia="Times New Roman" w:hAnsi="Times New Roman" w:cs="Times New Roman"/>
                <w:b/>
                <w:sz w:val="24"/>
                <w:szCs w:val="24"/>
                <w:lang w:val="ro-RO"/>
              </w:rPr>
              <w:t xml:space="preserve"> de calculare a </w:t>
            </w:r>
            <w:r w:rsidR="008F238A" w:rsidRPr="00637F7D">
              <w:rPr>
                <w:rFonts w:ascii="Times New Roman" w:eastAsia="Times New Roman" w:hAnsi="Times New Roman" w:cs="Times New Roman"/>
                <w:b/>
                <w:sz w:val="24"/>
                <w:szCs w:val="24"/>
                <w:lang w:val="ro-RO"/>
              </w:rPr>
              <w:t>plății</w:t>
            </w:r>
            <w:r w:rsidRPr="00637F7D">
              <w:rPr>
                <w:rFonts w:ascii="Times New Roman" w:eastAsia="Times New Roman" w:hAnsi="Times New Roman" w:cs="Times New Roman"/>
                <w:b/>
                <w:sz w:val="24"/>
                <w:szCs w:val="24"/>
                <w:lang w:val="ro-RO"/>
              </w:rPr>
              <w:t xml:space="preserve"> pentru dezechilibru zilnic</w:t>
            </w:r>
          </w:p>
        </w:tc>
      </w:tr>
      <w:tr w:rsidR="00205A53" w:rsidRPr="00FC23C1" w:rsidTr="00C27B0E">
        <w:trPr>
          <w:trHeight w:val="169"/>
        </w:trPr>
        <w:tc>
          <w:tcPr>
            <w:tcW w:w="40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b/>
                <w:sz w:val="24"/>
                <w:szCs w:val="24"/>
                <w:lang w:val="ro-RO"/>
              </w:rPr>
            </w:pPr>
            <w:r w:rsidRPr="00FC23C1">
              <w:rPr>
                <w:rFonts w:ascii="Times New Roman" w:eastAsia="Times New Roman" w:hAnsi="Times New Roman" w:cs="Times New Roman"/>
                <w:b/>
                <w:sz w:val="24"/>
                <w:szCs w:val="24"/>
                <w:lang w:val="ro-RO"/>
              </w:rPr>
              <w:t>Data:</w:t>
            </w:r>
          </w:p>
        </w:tc>
        <w:tc>
          <w:tcPr>
            <w:tcW w:w="5731" w:type="dxa"/>
            <w:tcBorders>
              <w:top w:val="single" w:sz="4" w:space="0" w:color="000000"/>
              <w:left w:val="single" w:sz="4" w:space="0" w:color="000000"/>
              <w:bottom w:val="single" w:sz="4" w:space="0" w:color="000000"/>
              <w:right w:val="single" w:sz="4" w:space="0" w:color="000000"/>
            </w:tcBorders>
          </w:tcPr>
          <w:p w:rsidR="00205A53" w:rsidRPr="00FC23C1" w:rsidRDefault="00205A53" w:rsidP="0077640B">
            <w:pPr>
              <w:pBdr>
                <w:top w:val="nil"/>
                <w:left w:val="nil"/>
                <w:bottom w:val="nil"/>
                <w:right w:val="nil"/>
                <w:between w:val="nil"/>
              </w:pBdr>
              <w:rPr>
                <w:rFonts w:ascii="Times New Roman" w:eastAsia="Times New Roman" w:hAnsi="Times New Roman" w:cs="Times New Roman"/>
                <w:sz w:val="24"/>
                <w:szCs w:val="24"/>
                <w:lang w:val="ro-RO"/>
              </w:rPr>
            </w:pPr>
          </w:p>
        </w:tc>
      </w:tr>
      <w:tr w:rsidR="00205A53" w:rsidRPr="00FC23C1" w:rsidTr="00C27B0E">
        <w:trPr>
          <w:trHeight w:val="339"/>
        </w:trPr>
        <w:tc>
          <w:tcPr>
            <w:tcW w:w="40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b/>
                <w:sz w:val="24"/>
                <w:szCs w:val="24"/>
                <w:lang w:val="ro-RO"/>
              </w:rPr>
            </w:pPr>
            <w:r w:rsidRPr="00FC23C1">
              <w:rPr>
                <w:rFonts w:ascii="Times New Roman" w:eastAsia="Times New Roman" w:hAnsi="Times New Roman" w:cs="Times New Roman"/>
                <w:b/>
                <w:sz w:val="24"/>
                <w:szCs w:val="24"/>
                <w:lang w:val="ro-RO"/>
              </w:rPr>
              <w:t>Autoritatea administrației publice (autor):</w:t>
            </w:r>
          </w:p>
        </w:tc>
        <w:tc>
          <w:tcPr>
            <w:tcW w:w="57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sz w:val="24"/>
                <w:szCs w:val="24"/>
                <w:lang w:val="ro-RO"/>
              </w:rPr>
            </w:pPr>
            <w:r w:rsidRPr="00FC23C1">
              <w:rPr>
                <w:rFonts w:ascii="Times New Roman" w:eastAsia="Times New Roman" w:hAnsi="Times New Roman" w:cs="Times New Roman"/>
                <w:sz w:val="24"/>
                <w:szCs w:val="24"/>
                <w:lang w:val="ro-RO"/>
              </w:rPr>
              <w:t>Agenția Națională pentru Reglementare în Energetică (ANRE)</w:t>
            </w:r>
          </w:p>
        </w:tc>
      </w:tr>
      <w:tr w:rsidR="00205A53" w:rsidRPr="00FC23C1" w:rsidTr="00C27B0E">
        <w:trPr>
          <w:trHeight w:val="169"/>
        </w:trPr>
        <w:tc>
          <w:tcPr>
            <w:tcW w:w="40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b/>
                <w:sz w:val="24"/>
                <w:szCs w:val="24"/>
                <w:lang w:val="ro-RO"/>
              </w:rPr>
            </w:pPr>
            <w:r w:rsidRPr="00FC23C1">
              <w:rPr>
                <w:rFonts w:ascii="Times New Roman" w:eastAsia="Times New Roman" w:hAnsi="Times New Roman" w:cs="Times New Roman"/>
                <w:b/>
                <w:sz w:val="24"/>
                <w:szCs w:val="24"/>
                <w:lang w:val="ro-RO"/>
              </w:rPr>
              <w:t>Subdiviziunea:</w:t>
            </w:r>
          </w:p>
        </w:tc>
        <w:tc>
          <w:tcPr>
            <w:tcW w:w="57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sz w:val="24"/>
                <w:szCs w:val="24"/>
                <w:lang w:val="ro-RO"/>
              </w:rPr>
            </w:pPr>
            <w:r w:rsidRPr="00FC23C1">
              <w:rPr>
                <w:rFonts w:ascii="Times New Roman" w:eastAsia="Times New Roman" w:hAnsi="Times New Roman" w:cs="Times New Roman"/>
                <w:sz w:val="24"/>
                <w:szCs w:val="24"/>
                <w:lang w:val="ro-RO"/>
              </w:rPr>
              <w:t>Secția Gaze naturale, Departamentul reglementări</w:t>
            </w:r>
          </w:p>
        </w:tc>
      </w:tr>
      <w:tr w:rsidR="00205A53" w:rsidRPr="00FC23C1" w:rsidTr="00C27B0E">
        <w:trPr>
          <w:trHeight w:val="832"/>
        </w:trPr>
        <w:tc>
          <w:tcPr>
            <w:tcW w:w="4031" w:type="dxa"/>
            <w:tcBorders>
              <w:top w:val="single" w:sz="4" w:space="0" w:color="000000"/>
              <w:left w:val="single" w:sz="4" w:space="0" w:color="000000"/>
              <w:bottom w:val="single" w:sz="4" w:space="0" w:color="000000"/>
              <w:right w:val="single" w:sz="4" w:space="0" w:color="000000"/>
            </w:tcBorders>
          </w:tcPr>
          <w:p w:rsidR="00205A53" w:rsidRPr="00FC23C1" w:rsidRDefault="00205A53" w:rsidP="00205A53">
            <w:pPr>
              <w:pBdr>
                <w:top w:val="nil"/>
                <w:left w:val="nil"/>
                <w:bottom w:val="nil"/>
                <w:right w:val="nil"/>
                <w:between w:val="nil"/>
              </w:pBdr>
              <w:rPr>
                <w:rFonts w:ascii="Times New Roman" w:eastAsia="Times New Roman" w:hAnsi="Times New Roman" w:cs="Times New Roman"/>
                <w:b/>
                <w:sz w:val="24"/>
                <w:szCs w:val="24"/>
                <w:lang w:val="ro-RO"/>
              </w:rPr>
            </w:pPr>
            <w:r w:rsidRPr="00FC23C1">
              <w:rPr>
                <w:rFonts w:ascii="Times New Roman" w:eastAsia="Times New Roman" w:hAnsi="Times New Roman" w:cs="Times New Roman"/>
                <w:b/>
                <w:sz w:val="24"/>
                <w:szCs w:val="24"/>
                <w:lang w:val="ro-RO"/>
              </w:rPr>
              <w:t>Persoana responsabilă şi datele de contact:</w:t>
            </w:r>
          </w:p>
        </w:tc>
        <w:tc>
          <w:tcPr>
            <w:tcW w:w="5731" w:type="dxa"/>
            <w:tcBorders>
              <w:top w:val="single" w:sz="4" w:space="0" w:color="000000"/>
              <w:left w:val="single" w:sz="4" w:space="0" w:color="000000"/>
              <w:bottom w:val="single" w:sz="4" w:space="0" w:color="000000"/>
              <w:right w:val="single" w:sz="4" w:space="0" w:color="000000"/>
            </w:tcBorders>
          </w:tcPr>
          <w:p w:rsidR="00205A53" w:rsidRPr="00FC23C1" w:rsidRDefault="00205A53" w:rsidP="00C27B0E">
            <w:pPr>
              <w:jc w:val="both"/>
              <w:rPr>
                <w:rFonts w:ascii="Times New Roman" w:hAnsi="Times New Roman" w:cs="Times New Roman"/>
                <w:sz w:val="24"/>
                <w:szCs w:val="24"/>
                <w:lang w:val="ro-RO" w:eastAsia="ro-RO"/>
              </w:rPr>
            </w:pPr>
            <w:r w:rsidRPr="00FC23C1">
              <w:rPr>
                <w:rFonts w:ascii="Times New Roman" w:hAnsi="Times New Roman" w:cs="Times New Roman"/>
                <w:sz w:val="24"/>
                <w:szCs w:val="24"/>
                <w:lang w:val="ro-RO" w:eastAsia="ro-RO"/>
              </w:rPr>
              <w:t xml:space="preserve">Ilescu Elena – consultant,  </w:t>
            </w:r>
            <w:hyperlink r:id="rId9" w:history="1">
              <w:r w:rsidRPr="00FC23C1">
                <w:rPr>
                  <w:rStyle w:val="Hyperlink"/>
                  <w:rFonts w:ascii="Times New Roman" w:hAnsi="Times New Roman" w:cs="Times New Roman"/>
                  <w:sz w:val="24"/>
                  <w:szCs w:val="24"/>
                  <w:lang w:val="ro-RO" w:eastAsia="ro-RO"/>
                </w:rPr>
                <w:t>eilescu@anre.md</w:t>
              </w:r>
            </w:hyperlink>
          </w:p>
        </w:tc>
      </w:tr>
    </w:tbl>
    <w:p w:rsidR="00FB609F" w:rsidRPr="00FC23C1" w:rsidRDefault="00FB609F" w:rsidP="00D1740D">
      <w:pPr>
        <w:rPr>
          <w:lang w:val="ro-RO"/>
        </w:rPr>
      </w:pPr>
    </w:p>
    <w:tbl>
      <w:tblPr>
        <w:tblStyle w:val="a0"/>
        <w:tblW w:w="9782"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9782"/>
      </w:tblGrid>
      <w:tr w:rsidR="00FB609F" w:rsidRPr="00FC23C1" w:rsidTr="00003036">
        <w:tc>
          <w:tcPr>
            <w:tcW w:w="9782" w:type="dxa"/>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FC23C1">
            <w:pPr>
              <w:jc w:val="center"/>
              <w:rPr>
                <w:lang w:val="ro-RO"/>
              </w:rPr>
            </w:pPr>
            <w:r w:rsidRPr="00FC23C1">
              <w:rPr>
                <w:b/>
                <w:lang w:val="ro-RO"/>
              </w:rPr>
              <w:t>Compartimentele analizei impactului</w:t>
            </w:r>
          </w:p>
        </w:tc>
      </w:tr>
      <w:tr w:rsidR="00FB609F"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b/>
                <w:lang w:val="ro-RO"/>
              </w:rPr>
              <w:t>1. Definirea problemei</w:t>
            </w:r>
          </w:p>
        </w:tc>
      </w:tr>
      <w:tr w:rsidR="00FB609F"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b/>
                <w:i/>
                <w:lang w:val="ro-RO"/>
              </w:rPr>
              <w:t>a) Determinați clar şi concis problema şi/sau problemele care urmează să fie soluționate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74D89" w:rsidRDefault="00485660" w:rsidP="00D1740D">
            <w:pPr>
              <w:ind w:firstLine="591"/>
              <w:jc w:val="both"/>
              <w:rPr>
                <w:lang w:val="ro-RO"/>
              </w:rPr>
            </w:pPr>
            <w:r w:rsidRPr="00FC23C1">
              <w:rPr>
                <w:lang w:val="ro-RO"/>
              </w:rPr>
              <w:t>În Republica Moldova mecanismul de echilibrare este în</w:t>
            </w:r>
            <w:r w:rsidR="00E10275" w:rsidRPr="00FC23C1">
              <w:rPr>
                <w:lang w:val="ro-RO"/>
              </w:rPr>
              <w:t xml:space="preserve"> proces de</w:t>
            </w:r>
            <w:r w:rsidRPr="00FC23C1">
              <w:rPr>
                <w:lang w:val="ro-RO"/>
              </w:rPr>
              <w:t xml:space="preserve"> </w:t>
            </w:r>
            <w:r w:rsidR="00E10275" w:rsidRPr="00FC23C1">
              <w:rPr>
                <w:lang w:val="ro-RO"/>
              </w:rPr>
              <w:t>implementare,</w:t>
            </w:r>
            <w:r w:rsidR="004C53CD" w:rsidRPr="00FC23C1">
              <w:rPr>
                <w:lang w:val="ro-RO"/>
              </w:rPr>
              <w:t xml:space="preserve"> </w:t>
            </w:r>
            <w:r w:rsidR="00754F27" w:rsidRPr="00FC23C1">
              <w:rPr>
                <w:lang w:val="ro-RO"/>
              </w:rPr>
              <w:t xml:space="preserve">urmare a </w:t>
            </w:r>
            <w:r w:rsidR="004C53CD" w:rsidRPr="00FC23C1">
              <w:rPr>
                <w:lang w:val="ro-RO"/>
              </w:rPr>
              <w:t>transpuner</w:t>
            </w:r>
            <w:r w:rsidR="00C03671">
              <w:rPr>
                <w:lang w:val="ro-RO"/>
              </w:rPr>
              <w:t>ii</w:t>
            </w:r>
            <w:r w:rsidR="004C53CD" w:rsidRPr="00FC23C1">
              <w:rPr>
                <w:lang w:val="ro-RO"/>
              </w:rPr>
              <w:t xml:space="preserve"> de către ANRE a </w:t>
            </w:r>
            <w:r w:rsidR="004C53CD" w:rsidRPr="00FC23C1">
              <w:rPr>
                <w:i/>
                <w:lang w:val="ro-RO"/>
              </w:rPr>
              <w:t>Regulamentul</w:t>
            </w:r>
            <w:r w:rsidR="008F238A">
              <w:rPr>
                <w:i/>
                <w:lang w:val="ro-RO"/>
              </w:rPr>
              <w:t>ui</w:t>
            </w:r>
            <w:r w:rsidR="004C53CD" w:rsidRPr="00FC23C1">
              <w:rPr>
                <w:i/>
                <w:lang w:val="ro-RO"/>
              </w:rPr>
              <w:t xml:space="preserve"> (UE) Nr.312/2014 </w:t>
            </w:r>
            <w:r w:rsidR="004C53CD" w:rsidRPr="00FC23C1">
              <w:rPr>
                <w:lang w:val="ro-RO"/>
              </w:rPr>
              <w:t xml:space="preserve">al Comisiei din 26 martie 2014 de stabilire a unui </w:t>
            </w:r>
            <w:r w:rsidR="004C53CD" w:rsidRPr="00FC23C1">
              <w:rPr>
                <w:i/>
                <w:lang w:val="ro-RO"/>
              </w:rPr>
              <w:t>cod de reţea privind echilibrarea reţelelor de transport</w:t>
            </w:r>
            <w:r w:rsidR="004C53CD" w:rsidRPr="00FC23C1">
              <w:rPr>
                <w:lang w:val="ro-RO"/>
              </w:rPr>
              <w:t xml:space="preserve"> de gaz. </w:t>
            </w:r>
          </w:p>
          <w:p w:rsidR="00637F7D" w:rsidRPr="00225FE9" w:rsidRDefault="00637F7D" w:rsidP="00637F7D">
            <w:pPr>
              <w:ind w:firstLine="591"/>
              <w:jc w:val="both"/>
              <w:rPr>
                <w:lang w:val="en-GB"/>
              </w:rPr>
            </w:pPr>
            <w:r w:rsidRPr="00225FE9">
              <w:rPr>
                <w:lang w:val="ro-RO"/>
              </w:rPr>
              <w:t xml:space="preserve">La data de 10.09.2022 a intrat în vigoare noile modificări la Legea cu privire la gazele naturale nr. 108/2016 care prevăd expres în art. 7 alin (1) lit.  </w:t>
            </w:r>
            <w:r w:rsidRPr="00225FE9">
              <w:rPr>
                <w:lang w:val="en-GB"/>
              </w:rPr>
              <w:t>q</w:t>
            </w:r>
            <w:r>
              <w:rPr>
                <w:vertAlign w:val="superscript"/>
                <w:lang w:val="en-GB"/>
              </w:rPr>
              <w:t>2</w:t>
            </w:r>
            <w:r w:rsidRPr="00225FE9">
              <w:rPr>
                <w:lang w:val="en-GB"/>
              </w:rPr>
              <w:t xml:space="preserve">) </w:t>
            </w:r>
            <w:r w:rsidRPr="00225FE9">
              <w:rPr>
                <w:lang w:val="ro-RO"/>
              </w:rPr>
              <w:t>temeiul juridic de aprobare de către ANRE a</w:t>
            </w:r>
            <w:r w:rsidRPr="00225FE9">
              <w:rPr>
                <w:lang w:val="en-GB"/>
              </w:rPr>
              <w:t xml:space="preserve"> </w:t>
            </w:r>
            <w:r w:rsidRPr="00225FE9">
              <w:rPr>
                <w:i/>
                <w:lang w:val="en-GB"/>
              </w:rPr>
              <w:t>Metodologiei de calculare a plăților pentru neutralitate</w:t>
            </w:r>
            <w:r w:rsidRPr="00225FE9">
              <w:rPr>
                <w:lang w:val="en-GB"/>
              </w:rPr>
              <w:t>, elaborată de operatorul sistemului de transport desemnat de Agenţie.</w:t>
            </w:r>
          </w:p>
          <w:p w:rsidR="0082002B" w:rsidRPr="00FC23C1" w:rsidRDefault="003D63D4" w:rsidP="00D1740D">
            <w:pPr>
              <w:ind w:firstLine="591"/>
              <w:jc w:val="both"/>
              <w:rPr>
                <w:lang w:val="ro-RO" w:eastAsia="ro-RO"/>
              </w:rPr>
            </w:pPr>
            <w:r w:rsidRPr="00FC23C1">
              <w:rPr>
                <w:i/>
                <w:lang w:val="ro-RO"/>
              </w:rPr>
              <w:t xml:space="preserve">Una din problemele identificate </w:t>
            </w:r>
            <w:r w:rsidR="00754F27" w:rsidRPr="00FC23C1">
              <w:rPr>
                <w:lang w:val="ro-RO"/>
              </w:rPr>
              <w:t xml:space="preserve">în prezenta analiză de impact </w:t>
            </w:r>
            <w:r w:rsidRPr="00FC23C1">
              <w:rPr>
                <w:lang w:val="ro-RO"/>
              </w:rPr>
              <w:t>este că Entitatea de echilibrare nu</w:t>
            </w:r>
            <w:r w:rsidR="009A58A8">
              <w:rPr>
                <w:lang w:val="ro-RO"/>
              </w:rPr>
              <w:t xml:space="preserve"> dispune de</w:t>
            </w:r>
            <w:r w:rsidR="00423AFF">
              <w:rPr>
                <w:lang w:val="ro-RO"/>
              </w:rPr>
              <w:t xml:space="preserve"> o metodologie pentru</w:t>
            </w:r>
            <w:r w:rsidR="009A58A8">
              <w:rPr>
                <w:lang w:val="ro-RO"/>
              </w:rPr>
              <w:t xml:space="preserve"> </w:t>
            </w:r>
            <w:r w:rsidR="00637F7D">
              <w:t>calcu</w:t>
            </w:r>
            <w:r w:rsidR="009A58A8">
              <w:t>l</w:t>
            </w:r>
            <w:r w:rsidR="00423AFF">
              <w:t>area</w:t>
            </w:r>
            <w:r w:rsidR="009A58A8">
              <w:t xml:space="preserve"> plății pentru dezechilibru zilnic, ceea ce duce la imposibilitatea taxării</w:t>
            </w:r>
            <w:r w:rsidRPr="00FC23C1">
              <w:rPr>
                <w:lang w:val="ro-RO"/>
              </w:rPr>
              <w:t xml:space="preserve"> utilizatori</w:t>
            </w:r>
            <w:r w:rsidR="009A58A8">
              <w:rPr>
                <w:lang w:val="ro-RO"/>
              </w:rPr>
              <w:t>lor</w:t>
            </w:r>
            <w:r w:rsidRPr="00FC23C1">
              <w:rPr>
                <w:lang w:val="ro-RO"/>
              </w:rPr>
              <w:t xml:space="preserve"> de sistem </w:t>
            </w:r>
            <w:r w:rsidR="00754F27" w:rsidRPr="00FC23C1">
              <w:rPr>
                <w:lang w:val="ro-RO"/>
              </w:rPr>
              <w:t>pentru</w:t>
            </w:r>
            <w:r w:rsidRPr="00FC23C1">
              <w:rPr>
                <w:lang w:val="ro-RO"/>
              </w:rPr>
              <w:t xml:space="preserve"> cauzarea dezechilibrelor în rețelele de transport al gazelor naturale.</w:t>
            </w:r>
            <w:r w:rsidR="00754F27" w:rsidRPr="00FC23C1">
              <w:rPr>
                <w:lang w:val="ro-RO"/>
              </w:rPr>
              <w:t xml:space="preserve"> </w:t>
            </w:r>
            <w:r w:rsidRPr="00FC23C1">
              <w:rPr>
                <w:lang w:val="ro-RO"/>
              </w:rPr>
              <w:t>D</w:t>
            </w:r>
            <w:r w:rsidR="0082002B" w:rsidRPr="00FC23C1">
              <w:rPr>
                <w:lang w:val="ro-RO"/>
              </w:rPr>
              <w:t xml:space="preserve">ezechilibrele create </w:t>
            </w:r>
            <w:r w:rsidR="004C53CD" w:rsidRPr="00FC23C1">
              <w:rPr>
                <w:lang w:val="ro-RO"/>
              </w:rPr>
              <w:t xml:space="preserve">de utilizatorii de sistem </w:t>
            </w:r>
            <w:r w:rsidR="00754F27" w:rsidRPr="00FC23C1">
              <w:rPr>
                <w:lang w:val="ro-RO"/>
              </w:rPr>
              <w:t>pot afect</w:t>
            </w:r>
            <w:r w:rsidR="00924FB3">
              <w:rPr>
                <w:lang w:val="ro-RO"/>
              </w:rPr>
              <w:t>a</w:t>
            </w:r>
            <w:r w:rsidR="00754F27" w:rsidRPr="00FC23C1">
              <w:rPr>
                <w:lang w:val="ro-RO"/>
              </w:rPr>
              <w:t xml:space="preserve"> </w:t>
            </w:r>
            <w:r w:rsidR="0082002B" w:rsidRPr="00FC23C1">
              <w:rPr>
                <w:lang w:val="ro-RO"/>
              </w:rPr>
              <w:t>r</w:t>
            </w:r>
            <w:r w:rsidR="0082002B" w:rsidRPr="00FC23C1">
              <w:rPr>
                <w:lang w:val="ro-RO" w:eastAsia="ro-RO"/>
              </w:rPr>
              <w:t xml:space="preserve">egimul de funcționare normal </w:t>
            </w:r>
            <w:r w:rsidR="0082002B" w:rsidRPr="00FC23C1">
              <w:rPr>
                <w:lang w:val="ro-RO"/>
              </w:rPr>
              <w:t>al rețelei de transport a</w:t>
            </w:r>
            <w:r w:rsidR="005223F5">
              <w:rPr>
                <w:lang w:val="ro-RO"/>
              </w:rPr>
              <w:t>l</w:t>
            </w:r>
            <w:r w:rsidR="0082002B" w:rsidRPr="00FC23C1">
              <w:rPr>
                <w:lang w:val="ro-RO"/>
              </w:rPr>
              <w:t xml:space="preserve"> gazelor naturale și</w:t>
            </w:r>
            <w:r w:rsidR="00637F7D">
              <w:rPr>
                <w:lang w:val="ro-RO"/>
              </w:rPr>
              <w:t xml:space="preserve"> </w:t>
            </w:r>
            <w:r w:rsidR="0082002B" w:rsidRPr="00FC23C1">
              <w:rPr>
                <w:lang w:val="ro-RO" w:eastAsia="ro-RO"/>
              </w:rPr>
              <w:t xml:space="preserve">pune în pericol securitatea </w:t>
            </w:r>
            <w:r w:rsidR="00754F27" w:rsidRPr="00FC23C1">
              <w:rPr>
                <w:lang w:val="ro-RO" w:eastAsia="ro-RO"/>
              </w:rPr>
              <w:t>livrărilor de gaze naturale</w:t>
            </w:r>
            <w:r w:rsidR="00B74548" w:rsidRPr="00FC23C1">
              <w:rPr>
                <w:lang w:val="ro-RO" w:eastAsia="ro-RO"/>
              </w:rPr>
              <w:t>.</w:t>
            </w:r>
          </w:p>
          <w:p w:rsidR="00674D89" w:rsidRPr="00FC23C1" w:rsidRDefault="00036ABE" w:rsidP="00437972">
            <w:pPr>
              <w:pBdr>
                <w:top w:val="nil"/>
                <w:left w:val="nil"/>
                <w:bottom w:val="nil"/>
                <w:right w:val="nil"/>
                <w:between w:val="nil"/>
              </w:pBdr>
              <w:tabs>
                <w:tab w:val="left" w:pos="851"/>
                <w:tab w:val="left" w:pos="1134"/>
              </w:tabs>
              <w:ind w:firstLine="591"/>
              <w:jc w:val="both"/>
              <w:rPr>
                <w:lang w:val="ro-RO" w:eastAsia="ro-RO"/>
              </w:rPr>
            </w:pPr>
            <w:r w:rsidRPr="00FC23C1">
              <w:rPr>
                <w:lang w:val="ro-RO"/>
              </w:rPr>
              <w:t xml:space="preserve">Odată cu apariția mai multor utilizatori de sistem </w:t>
            </w:r>
            <w:r w:rsidR="0067515B" w:rsidRPr="00FC23C1">
              <w:rPr>
                <w:lang w:val="ro-RO"/>
              </w:rPr>
              <w:t xml:space="preserve">(furnizori, </w:t>
            </w:r>
            <w:proofErr w:type="spellStart"/>
            <w:r w:rsidR="00437972">
              <w:rPr>
                <w:lang w:val="ro-RO"/>
              </w:rPr>
              <w:t>shipperi</w:t>
            </w:r>
            <w:proofErr w:type="spellEnd"/>
            <w:r w:rsidR="0067515B" w:rsidRPr="00FC23C1">
              <w:rPr>
                <w:lang w:val="ro-RO"/>
              </w:rPr>
              <w:t>)</w:t>
            </w:r>
            <w:r w:rsidR="004D31D3" w:rsidRPr="00FC23C1">
              <w:rPr>
                <w:lang w:val="ro-RO"/>
              </w:rPr>
              <w:t xml:space="preserve"> </w:t>
            </w:r>
            <w:r w:rsidR="0067515B" w:rsidRPr="00FC23C1">
              <w:rPr>
                <w:lang w:val="ro-RO"/>
              </w:rPr>
              <w:t>E</w:t>
            </w:r>
            <w:r w:rsidR="004D31D3" w:rsidRPr="00FC23C1">
              <w:rPr>
                <w:lang w:val="ro-RO"/>
              </w:rPr>
              <w:t xml:space="preserve">ntitatea de </w:t>
            </w:r>
            <w:r w:rsidR="0067515B" w:rsidRPr="00FC23C1">
              <w:rPr>
                <w:lang w:val="ro-RO"/>
              </w:rPr>
              <w:t>e</w:t>
            </w:r>
            <w:r w:rsidR="004D31D3" w:rsidRPr="00FC23C1">
              <w:rPr>
                <w:lang w:val="ro-RO"/>
              </w:rPr>
              <w:t xml:space="preserve">chilibrare desemnată de ANRE </w:t>
            </w:r>
            <w:r w:rsidR="00754F27" w:rsidRPr="00FC23C1">
              <w:rPr>
                <w:lang w:val="ro-RO"/>
              </w:rPr>
              <w:t>responsabilă de echilibrarea</w:t>
            </w:r>
            <w:r w:rsidR="00C03671">
              <w:rPr>
                <w:lang w:val="ro-RO"/>
              </w:rPr>
              <w:t xml:space="preserve"> z</w:t>
            </w:r>
            <w:r w:rsidR="004D31D3" w:rsidRPr="00FC23C1">
              <w:rPr>
                <w:lang w:val="ro-RO"/>
              </w:rPr>
              <w:t>on</w:t>
            </w:r>
            <w:r w:rsidR="00754F27" w:rsidRPr="00FC23C1">
              <w:rPr>
                <w:lang w:val="ro-RO"/>
              </w:rPr>
              <w:t>ei</w:t>
            </w:r>
            <w:r w:rsidR="004D31D3" w:rsidRPr="00FC23C1">
              <w:rPr>
                <w:lang w:val="ro-RO"/>
              </w:rPr>
              <w:t xml:space="preserve"> de echilibrare a RM</w:t>
            </w:r>
            <w:r w:rsidR="00D55484">
              <w:rPr>
                <w:lang w:val="ro-RO"/>
              </w:rPr>
              <w:t xml:space="preserve"> </w:t>
            </w:r>
            <w:r w:rsidR="0067515B" w:rsidRPr="00FC23C1">
              <w:rPr>
                <w:lang w:val="ro-RO"/>
              </w:rPr>
              <w:t xml:space="preserve">a </w:t>
            </w:r>
            <w:r w:rsidR="00423AFF">
              <w:rPr>
                <w:lang w:val="ro-RO"/>
              </w:rPr>
              <w:t xml:space="preserve">informat ANRE </w:t>
            </w:r>
            <w:r w:rsidR="0067515B" w:rsidRPr="00FC23C1">
              <w:rPr>
                <w:lang w:val="ro-RO"/>
              </w:rPr>
              <w:t xml:space="preserve">despre </w:t>
            </w:r>
            <w:r w:rsidR="00637F7D">
              <w:rPr>
                <w:lang w:val="ro-RO"/>
              </w:rPr>
              <w:t xml:space="preserve">întâmpinarea dificultăților la </w:t>
            </w:r>
            <w:r w:rsidR="0067515B" w:rsidRPr="00FC23C1">
              <w:rPr>
                <w:lang w:val="ro-RO"/>
              </w:rPr>
              <w:t>determin</w:t>
            </w:r>
            <w:r w:rsidR="00637F7D">
              <w:rPr>
                <w:lang w:val="ro-RO"/>
              </w:rPr>
              <w:t>area</w:t>
            </w:r>
            <w:r w:rsidR="00735C15" w:rsidRPr="00FC23C1">
              <w:rPr>
                <w:lang w:val="ro-RO" w:eastAsia="ro-RO"/>
              </w:rPr>
              <w:t xml:space="preserve"> dezechilibrel</w:t>
            </w:r>
            <w:r w:rsidR="0067515B" w:rsidRPr="00FC23C1">
              <w:rPr>
                <w:lang w:val="ro-RO" w:eastAsia="ro-RO"/>
              </w:rPr>
              <w:t>or</w:t>
            </w:r>
            <w:r w:rsidR="00735C15" w:rsidRPr="00FC23C1">
              <w:rPr>
                <w:lang w:val="ro-RO" w:eastAsia="ro-RO"/>
              </w:rPr>
              <w:t xml:space="preserve"> cantitative provocate de </w:t>
            </w:r>
            <w:r w:rsidR="0067515B" w:rsidRPr="00FC23C1">
              <w:rPr>
                <w:lang w:val="ro-RO" w:eastAsia="ro-RO"/>
              </w:rPr>
              <w:t xml:space="preserve">fiecare </w:t>
            </w:r>
            <w:r w:rsidR="00266C98" w:rsidRPr="00FC23C1">
              <w:rPr>
                <w:lang w:val="ro-RO" w:eastAsia="ro-RO"/>
              </w:rPr>
              <w:t xml:space="preserve">utilizator de sistem în parte </w:t>
            </w:r>
            <w:r w:rsidR="00735C15" w:rsidRPr="00FC23C1">
              <w:rPr>
                <w:lang w:val="ro-RO" w:eastAsia="ro-RO"/>
              </w:rPr>
              <w:t xml:space="preserve">şi </w:t>
            </w:r>
            <w:r w:rsidR="004D31D3" w:rsidRPr="00FC23C1">
              <w:rPr>
                <w:lang w:val="ro-RO" w:eastAsia="ro-RO"/>
              </w:rPr>
              <w:t>realiz</w:t>
            </w:r>
            <w:r w:rsidR="0067515B" w:rsidRPr="00FC23C1">
              <w:rPr>
                <w:lang w:val="ro-RO" w:eastAsia="ro-RO"/>
              </w:rPr>
              <w:t>area</w:t>
            </w:r>
            <w:r w:rsidR="004D31D3" w:rsidRPr="00FC23C1">
              <w:rPr>
                <w:lang w:val="ro-RO" w:eastAsia="ro-RO"/>
              </w:rPr>
              <w:t xml:space="preserve"> decont</w:t>
            </w:r>
            <w:r w:rsidR="0067515B" w:rsidRPr="00FC23C1">
              <w:rPr>
                <w:lang w:val="ro-RO" w:eastAsia="ro-RO"/>
              </w:rPr>
              <w:t>ării</w:t>
            </w:r>
            <w:r w:rsidR="00735C15" w:rsidRPr="00FC23C1">
              <w:rPr>
                <w:lang w:val="ro-RO" w:eastAsia="ro-RO"/>
              </w:rPr>
              <w:t xml:space="preserve"> financiar</w:t>
            </w:r>
            <w:r w:rsidR="0067515B" w:rsidRPr="00FC23C1">
              <w:rPr>
                <w:lang w:val="ro-RO" w:eastAsia="ro-RO"/>
              </w:rPr>
              <w:t>e</w:t>
            </w:r>
            <w:r w:rsidR="004D31D3" w:rsidRPr="00FC23C1">
              <w:rPr>
                <w:lang w:val="ro-RO" w:eastAsia="ro-RO"/>
              </w:rPr>
              <w:t xml:space="preserve"> a acestora</w:t>
            </w:r>
            <w:r w:rsidR="00735C15" w:rsidRPr="00FC23C1">
              <w:rPr>
                <w:lang w:val="ro-RO" w:eastAsia="ro-RO"/>
              </w:rPr>
              <w: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jc w:val="both"/>
              <w:rPr>
                <w:lang w:val="ro-RO"/>
              </w:rPr>
            </w:pPr>
            <w:r w:rsidRPr="00FC23C1">
              <w:rPr>
                <w:b/>
                <w:i/>
                <w:lang w:val="ro-RO"/>
              </w:rPr>
              <w:t xml:space="preserve">b) Descrieți problema, persoanele/entitățile afectate și cele care contribuie la apariția    problemei, cu justificarea necesității schimbării situației curente şi viitoare, în baza dovezilor şi datelor colectate și examinate </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735C15" w:rsidRPr="00FC23C1" w:rsidRDefault="00735C15" w:rsidP="00D1740D">
            <w:pPr>
              <w:ind w:firstLine="591"/>
              <w:jc w:val="both"/>
              <w:rPr>
                <w:lang w:val="ro-RO"/>
              </w:rPr>
            </w:pPr>
            <w:r w:rsidRPr="00FC23C1">
              <w:rPr>
                <w:lang w:val="ro-RO"/>
              </w:rPr>
              <w:t xml:space="preserve">În </w:t>
            </w:r>
            <w:r w:rsidR="00754F27" w:rsidRPr="00FC23C1">
              <w:rPr>
                <w:lang w:val="ro-RO"/>
              </w:rPr>
              <w:t xml:space="preserve">Republica </w:t>
            </w:r>
            <w:r w:rsidRPr="00FC23C1">
              <w:rPr>
                <w:lang w:val="ro-RO"/>
              </w:rPr>
              <w:t>Moldova mecanismul de e</w:t>
            </w:r>
            <w:r w:rsidR="00B057C5" w:rsidRPr="00FC23C1">
              <w:rPr>
                <w:lang w:val="ro-RO"/>
              </w:rPr>
              <w:t>chilibrare este la un stadiu inițial de</w:t>
            </w:r>
            <w:r w:rsidRPr="00FC23C1">
              <w:rPr>
                <w:lang w:val="ro-RO"/>
              </w:rPr>
              <w:t xml:space="preserve"> i</w:t>
            </w:r>
            <w:r w:rsidR="00B057C5" w:rsidRPr="00FC23C1">
              <w:rPr>
                <w:lang w:val="ro-RO"/>
              </w:rPr>
              <w:t>mplementare</w:t>
            </w:r>
            <w:r w:rsidRPr="00FC23C1">
              <w:rPr>
                <w:lang w:val="ro-RO"/>
              </w:rPr>
              <w:t xml:space="preserve">. </w:t>
            </w:r>
          </w:p>
          <w:p w:rsidR="00735C15" w:rsidRPr="00FC23C1" w:rsidRDefault="009A58A8" w:rsidP="009A58A8">
            <w:pPr>
              <w:jc w:val="both"/>
              <w:rPr>
                <w:lang w:val="ro-RO"/>
              </w:rPr>
            </w:pPr>
            <w:r>
              <w:rPr>
                <w:lang w:val="ro-RO"/>
              </w:rPr>
              <w:t>Î</w:t>
            </w:r>
            <w:r w:rsidR="00735C15" w:rsidRPr="00FC23C1">
              <w:rPr>
                <w:lang w:val="ro-RO"/>
              </w:rPr>
              <w:t xml:space="preserve">n anul 2020 ANRE a </w:t>
            </w:r>
            <w:r w:rsidR="00205A53" w:rsidRPr="00FC23C1">
              <w:rPr>
                <w:lang w:val="ro-RO"/>
              </w:rPr>
              <w:t>transpus în Titl</w:t>
            </w:r>
            <w:r w:rsidR="00735C15" w:rsidRPr="00FC23C1">
              <w:rPr>
                <w:lang w:val="ro-RO"/>
              </w:rPr>
              <w:t>u</w:t>
            </w:r>
            <w:r w:rsidR="00205A53" w:rsidRPr="00FC23C1">
              <w:rPr>
                <w:lang w:val="ro-RO"/>
              </w:rPr>
              <w:t>lu</w:t>
            </w:r>
            <w:r w:rsidR="00735C15" w:rsidRPr="00FC23C1">
              <w:rPr>
                <w:lang w:val="ro-RO"/>
              </w:rPr>
              <w:t>i VI al Codul</w:t>
            </w:r>
            <w:r w:rsidR="00D90DB4">
              <w:rPr>
                <w:lang w:val="ro-RO"/>
              </w:rPr>
              <w:t>ui</w:t>
            </w:r>
            <w:r w:rsidR="00735C15" w:rsidRPr="00FC23C1">
              <w:rPr>
                <w:lang w:val="ro-RO"/>
              </w:rPr>
              <w:t xml:space="preserve"> rețelelor de gaze naturale aprobat prin Hotărârea ANRE nr. 420/2019</w:t>
            </w:r>
            <w:r w:rsidR="008209AA">
              <w:rPr>
                <w:lang w:val="ro-RO"/>
              </w:rPr>
              <w:t xml:space="preserve"> </w:t>
            </w:r>
            <w:r w:rsidR="00735C15" w:rsidRPr="00FC23C1">
              <w:rPr>
                <w:lang w:val="ro-RO"/>
              </w:rPr>
              <w:t xml:space="preserve">-  </w:t>
            </w:r>
            <w:r w:rsidR="00735C15" w:rsidRPr="00FC23C1">
              <w:rPr>
                <w:i/>
                <w:lang w:val="ro-RO"/>
              </w:rPr>
              <w:t>Regulamentul (UE) Nr.312/2014 al Comisiei din 26 martie 2014 de stabilire a unui cod de reţea privind echilibrarea reţelelor de transport de gaz</w:t>
            </w:r>
            <w:r w:rsidR="0084283F">
              <w:rPr>
                <w:i/>
                <w:lang w:val="ro-RO"/>
              </w:rPr>
              <w:t xml:space="preserve">, </w:t>
            </w:r>
            <w:r w:rsidR="0084283F" w:rsidRPr="0084283F">
              <w:rPr>
                <w:lang w:val="ro-RO"/>
              </w:rPr>
              <w:t>care</w:t>
            </w:r>
            <w:r w:rsidR="00C16FA9" w:rsidRPr="00FC23C1">
              <w:rPr>
                <w:i/>
                <w:lang w:val="ro-RO"/>
              </w:rPr>
              <w:t xml:space="preserve"> </w:t>
            </w:r>
            <w:r w:rsidR="00C16FA9" w:rsidRPr="00FC23C1">
              <w:rPr>
                <w:lang w:val="ro-RO"/>
              </w:rPr>
              <w:t>presupune crearea mecanismului bazat pe piață</w:t>
            </w:r>
            <w:r w:rsidR="00D90DB4">
              <w:rPr>
                <w:lang w:val="ro-RO"/>
              </w:rPr>
              <w:t>,</w:t>
            </w:r>
            <w:r w:rsidR="00C16FA9" w:rsidRPr="00FC23C1">
              <w:rPr>
                <w:lang w:val="ro-RO"/>
              </w:rPr>
              <w:t xml:space="preserve"> în baza căruia utilizatorii de sistem responsabili pentru crearea dezechilibrelor să-și poată echilibra portofoliile de echilibrare. Totodată</w:t>
            </w:r>
            <w:r w:rsidR="00637F7D">
              <w:rPr>
                <w:lang w:val="ro-RO"/>
              </w:rPr>
              <w:t>,</w:t>
            </w:r>
            <w:r w:rsidR="00C16FA9" w:rsidRPr="00FC23C1">
              <w:rPr>
                <w:lang w:val="ro-RO"/>
              </w:rPr>
              <w:t xml:space="preserve"> Co</w:t>
            </w:r>
            <w:r w:rsidR="00266E28" w:rsidRPr="00FC23C1">
              <w:rPr>
                <w:lang w:val="ro-RO"/>
              </w:rPr>
              <w:t>d</w:t>
            </w:r>
            <w:r w:rsidR="00C16FA9" w:rsidRPr="00FC23C1">
              <w:rPr>
                <w:lang w:val="ro-RO"/>
              </w:rPr>
              <w:t>ul prevede</w:t>
            </w:r>
            <w:r w:rsidR="00B057C5" w:rsidRPr="00FC23C1">
              <w:rPr>
                <w:i/>
                <w:lang w:val="ro-RO"/>
              </w:rPr>
              <w:t xml:space="preserve"> </w:t>
            </w:r>
            <w:r w:rsidR="00B057C5" w:rsidRPr="00FC23C1">
              <w:rPr>
                <w:lang w:val="ro-RO"/>
              </w:rPr>
              <w:t>o perioadă de imp</w:t>
            </w:r>
            <w:r w:rsidR="00D55484">
              <w:rPr>
                <w:lang w:val="ro-RO"/>
              </w:rPr>
              <w:t>lementare graduală a acestuia pâ</w:t>
            </w:r>
            <w:r w:rsidR="00B057C5" w:rsidRPr="00FC23C1">
              <w:rPr>
                <w:lang w:val="ro-RO"/>
              </w:rPr>
              <w:t>nă în anul 2025.</w:t>
            </w:r>
            <w:r w:rsidR="00C269B4">
              <w:rPr>
                <w:lang w:val="ro-RO"/>
              </w:rPr>
              <w:t xml:space="preserve"> </w:t>
            </w:r>
          </w:p>
          <w:p w:rsidR="00B057C5" w:rsidRPr="00FC23C1" w:rsidRDefault="00B057C5" w:rsidP="00D1740D">
            <w:pPr>
              <w:pBdr>
                <w:top w:val="nil"/>
                <w:left w:val="nil"/>
                <w:bottom w:val="nil"/>
                <w:right w:val="nil"/>
                <w:between w:val="nil"/>
              </w:pBdr>
              <w:tabs>
                <w:tab w:val="left" w:pos="851"/>
                <w:tab w:val="left" w:pos="1134"/>
              </w:tabs>
              <w:ind w:firstLine="591"/>
              <w:jc w:val="both"/>
              <w:rPr>
                <w:lang w:val="ro-RO"/>
              </w:rPr>
            </w:pPr>
            <w:r w:rsidRPr="00FC23C1">
              <w:rPr>
                <w:lang w:val="ro-RO"/>
              </w:rPr>
              <w:t xml:space="preserve">În anul 2021, ANRE a desemnat SRL </w:t>
            </w:r>
            <w:r w:rsidR="00266E28" w:rsidRPr="00FC23C1">
              <w:rPr>
                <w:lang w:val="ro-RO"/>
              </w:rPr>
              <w:t>”</w:t>
            </w:r>
            <w:r w:rsidRPr="00FC23C1">
              <w:rPr>
                <w:lang w:val="ro-RO"/>
              </w:rPr>
              <w:t>Moldovatransgaz</w:t>
            </w:r>
            <w:r w:rsidR="00266E28" w:rsidRPr="00FC23C1">
              <w:rPr>
                <w:lang w:val="ro-RO"/>
              </w:rPr>
              <w:t>”</w:t>
            </w:r>
            <w:r w:rsidRPr="00FC23C1">
              <w:rPr>
                <w:lang w:val="ro-RO"/>
              </w:rPr>
              <w:t xml:space="preserve"> în calitate de Entitate de Echilibrare și a coordonat Planul de acțiuni privind implementarea prevederilor Regulilor pieței gazelor naturale și Codului rețelelor de gaze naturale.  </w:t>
            </w:r>
          </w:p>
          <w:p w:rsidR="00266E28" w:rsidRPr="00FC23C1" w:rsidRDefault="00B057C5" w:rsidP="00C03671">
            <w:pPr>
              <w:ind w:firstLine="591"/>
              <w:jc w:val="both"/>
              <w:rPr>
                <w:lang w:val="ro-RO"/>
              </w:rPr>
            </w:pPr>
            <w:r w:rsidRPr="00FC23C1">
              <w:rPr>
                <w:lang w:val="ro-RO"/>
              </w:rPr>
              <w:t>În conformitate cu prevederile Codului rețelelor de gaze naturale, Entitatea de Echilibrare are obligația de a elabora și prezenta la ANRE spre aprobare proiect</w:t>
            </w:r>
            <w:r w:rsidR="00C03671">
              <w:rPr>
                <w:lang w:val="ro-RO"/>
              </w:rPr>
              <w:t>ul</w:t>
            </w:r>
            <w:r w:rsidRPr="00FC23C1">
              <w:rPr>
                <w:lang w:val="ro-RO"/>
              </w:rPr>
              <w:t xml:space="preserve"> </w:t>
            </w:r>
            <w:r w:rsidR="009D488C">
              <w:rPr>
                <w:lang w:val="ro-RO"/>
              </w:rPr>
              <w:t>Metodologiei</w:t>
            </w:r>
            <w:r w:rsidRPr="00FC23C1">
              <w:rPr>
                <w:lang w:val="ro-RO"/>
              </w:rPr>
              <w:t xml:space="preserve"> </w:t>
            </w:r>
            <w:r w:rsidR="00266E28" w:rsidRPr="00FC23C1">
              <w:rPr>
                <w:lang w:val="ro-RO"/>
              </w:rPr>
              <w:t xml:space="preserve">de calculare a </w:t>
            </w:r>
            <w:r w:rsidR="009A58A8" w:rsidRPr="00FC23C1">
              <w:rPr>
                <w:lang w:val="ro-RO"/>
              </w:rPr>
              <w:t>plății</w:t>
            </w:r>
            <w:r w:rsidR="00266E28" w:rsidRPr="00FC23C1">
              <w:rPr>
                <w:lang w:val="ro-RO"/>
              </w:rPr>
              <w:t xml:space="preserve"> pentru dezechilibru zilnic;</w:t>
            </w:r>
          </w:p>
          <w:p w:rsidR="0082002B" w:rsidRPr="00FC23C1" w:rsidRDefault="008C7E34" w:rsidP="00D1740D">
            <w:pPr>
              <w:ind w:firstLine="591"/>
              <w:jc w:val="both"/>
              <w:rPr>
                <w:lang w:val="ro-RO" w:eastAsia="ro-RO"/>
              </w:rPr>
            </w:pPr>
            <w:r w:rsidRPr="00FC23C1">
              <w:rPr>
                <w:lang w:val="ro-RO"/>
              </w:rPr>
              <w:lastRenderedPageBreak/>
              <w:t>O altă problemă apărut</w:t>
            </w:r>
            <w:r w:rsidR="009D488C">
              <w:rPr>
                <w:lang w:val="ro-RO"/>
              </w:rPr>
              <w:t>a</w:t>
            </w:r>
            <w:r w:rsidR="00266E28" w:rsidRPr="00FC23C1">
              <w:rPr>
                <w:lang w:val="ro-RO"/>
              </w:rPr>
              <w:t xml:space="preserve"> în anul 2021 </w:t>
            </w:r>
            <w:r w:rsidRPr="00FC23C1">
              <w:rPr>
                <w:lang w:val="ro-RO"/>
              </w:rPr>
              <w:t>(</w:t>
            </w:r>
            <w:r w:rsidR="00266E28" w:rsidRPr="00FC23C1">
              <w:rPr>
                <w:lang w:val="ro-RO"/>
              </w:rPr>
              <w:t xml:space="preserve">cînd </w:t>
            </w:r>
            <w:r w:rsidR="00266E28" w:rsidRPr="00FC23C1">
              <w:rPr>
                <w:lang w:val="ro-RO" w:eastAsia="ro-RO"/>
              </w:rPr>
              <w:t xml:space="preserve">Comisia pentru Situații Excepționale a Republicii Moldova a constatat </w:t>
            </w:r>
            <w:r w:rsidR="00041127" w:rsidRPr="00FC23C1">
              <w:rPr>
                <w:lang w:val="ro-RO" w:eastAsia="ro-RO"/>
              </w:rPr>
              <w:t xml:space="preserve">- </w:t>
            </w:r>
            <w:r w:rsidR="00580102" w:rsidRPr="00FC23C1">
              <w:rPr>
                <w:lang w:val="ro-RO" w:eastAsia="ro-RO"/>
              </w:rPr>
              <w:t xml:space="preserve">Situație de </w:t>
            </w:r>
            <w:r w:rsidR="00214AAB">
              <w:rPr>
                <w:lang w:val="ro-RO" w:eastAsia="ro-RO"/>
              </w:rPr>
              <w:t>ur</w:t>
            </w:r>
            <w:r w:rsidR="00580102" w:rsidRPr="00FC23C1">
              <w:rPr>
                <w:lang w:val="ro-RO" w:eastAsia="ro-RO"/>
              </w:rPr>
              <w:t xml:space="preserve">gență </w:t>
            </w:r>
            <w:r w:rsidR="00266E28" w:rsidRPr="00FC23C1">
              <w:rPr>
                <w:lang w:val="ro-RO" w:eastAsia="ro-RO"/>
              </w:rPr>
              <w:t>pe piaț</w:t>
            </w:r>
            <w:r w:rsidR="00580102" w:rsidRPr="00FC23C1">
              <w:rPr>
                <w:lang w:val="ro-RO" w:eastAsia="ro-RO"/>
              </w:rPr>
              <w:t>a</w:t>
            </w:r>
            <w:r w:rsidR="00266E28" w:rsidRPr="00FC23C1">
              <w:rPr>
                <w:lang w:val="ro-RO" w:eastAsia="ro-RO"/>
              </w:rPr>
              <w:t xml:space="preserve"> energetic</w:t>
            </w:r>
            <w:r w:rsidR="00580102" w:rsidRPr="00FC23C1">
              <w:rPr>
                <w:lang w:val="ro-RO" w:eastAsia="ro-RO"/>
              </w:rPr>
              <w:t>ă</w:t>
            </w:r>
            <w:r w:rsidRPr="00FC23C1">
              <w:rPr>
                <w:lang w:val="ro-RO" w:eastAsia="ro-RO"/>
              </w:rPr>
              <w:t>)</w:t>
            </w:r>
            <w:r w:rsidR="00266E28" w:rsidRPr="00FC23C1">
              <w:rPr>
                <w:lang w:val="ro-RO" w:eastAsia="ro-RO"/>
              </w:rPr>
              <w:t xml:space="preserve"> </w:t>
            </w:r>
            <w:r w:rsidR="0082002B" w:rsidRPr="00FC23C1">
              <w:rPr>
                <w:lang w:val="ro-RO"/>
              </w:rPr>
              <w:t xml:space="preserve">este că dezechilibrele create în reţeaua OST </w:t>
            </w:r>
            <w:r w:rsidR="00266E28" w:rsidRPr="00FC23C1">
              <w:rPr>
                <w:lang w:val="ro-RO"/>
              </w:rPr>
              <w:t xml:space="preserve">au </w:t>
            </w:r>
            <w:r w:rsidR="0082002B" w:rsidRPr="00FC23C1">
              <w:rPr>
                <w:lang w:val="ro-RO"/>
              </w:rPr>
              <w:t>afecta</w:t>
            </w:r>
            <w:r w:rsidR="00266E28" w:rsidRPr="00FC23C1">
              <w:rPr>
                <w:lang w:val="ro-RO"/>
              </w:rPr>
              <w:t>t</w:t>
            </w:r>
            <w:r w:rsidR="0082002B" w:rsidRPr="00FC23C1">
              <w:rPr>
                <w:lang w:val="ro-RO"/>
              </w:rPr>
              <w:t xml:space="preserve"> r</w:t>
            </w:r>
            <w:r w:rsidR="0082002B" w:rsidRPr="00FC23C1">
              <w:rPr>
                <w:lang w:val="ro-RO" w:eastAsia="ro-RO"/>
              </w:rPr>
              <w:t xml:space="preserve">egimul </w:t>
            </w:r>
            <w:r w:rsidR="00580102" w:rsidRPr="00FC23C1">
              <w:rPr>
                <w:lang w:val="ro-RO" w:eastAsia="ro-RO"/>
              </w:rPr>
              <w:t xml:space="preserve">normal </w:t>
            </w:r>
            <w:r w:rsidR="0082002B" w:rsidRPr="00FC23C1">
              <w:rPr>
                <w:lang w:val="ro-RO" w:eastAsia="ro-RO"/>
              </w:rPr>
              <w:t xml:space="preserve">de funcționare </w:t>
            </w:r>
            <w:r w:rsidR="0082002B" w:rsidRPr="00FC23C1">
              <w:rPr>
                <w:lang w:val="ro-RO"/>
              </w:rPr>
              <w:t>al rețelei de transport a</w:t>
            </w:r>
            <w:r w:rsidR="009A58A8">
              <w:rPr>
                <w:lang w:val="ro-RO"/>
              </w:rPr>
              <w:t>l</w:t>
            </w:r>
            <w:r w:rsidR="0082002B" w:rsidRPr="00FC23C1">
              <w:rPr>
                <w:lang w:val="ro-RO"/>
              </w:rPr>
              <w:t xml:space="preserve"> gaz</w:t>
            </w:r>
            <w:r w:rsidR="00266E28" w:rsidRPr="00FC23C1">
              <w:rPr>
                <w:lang w:val="ro-RO"/>
              </w:rPr>
              <w:t>elor naturale</w:t>
            </w:r>
            <w:r w:rsidR="00041127" w:rsidRPr="00FC23C1">
              <w:rPr>
                <w:lang w:val="ro-RO"/>
              </w:rPr>
              <w:t>,</w:t>
            </w:r>
            <w:r w:rsidR="00266E28" w:rsidRPr="00FC23C1">
              <w:rPr>
                <w:lang w:val="ro-RO"/>
              </w:rPr>
              <w:t xml:space="preserve"> fiind pusă</w:t>
            </w:r>
            <w:r w:rsidR="0082002B" w:rsidRPr="00FC23C1">
              <w:rPr>
                <w:lang w:val="ro-RO" w:eastAsia="ro-RO"/>
              </w:rPr>
              <w:t xml:space="preserve"> în pericol </w:t>
            </w:r>
            <w:r w:rsidR="00041127" w:rsidRPr="00FC23C1">
              <w:rPr>
                <w:lang w:val="ro-RO" w:eastAsia="ro-RO"/>
              </w:rPr>
              <w:t xml:space="preserve">real </w:t>
            </w:r>
            <w:r w:rsidR="0082002B" w:rsidRPr="00FC23C1">
              <w:rPr>
                <w:lang w:val="ro-RO" w:eastAsia="ro-RO"/>
              </w:rPr>
              <w:t xml:space="preserve">securitatea aprovizionării cu gaze naturale a Republicii Moldova. </w:t>
            </w:r>
            <w:r w:rsidR="00266E28" w:rsidRPr="00FC23C1">
              <w:rPr>
                <w:lang w:val="ro-RO" w:eastAsia="ro-RO"/>
              </w:rPr>
              <w:t xml:space="preserve"> </w:t>
            </w:r>
            <w:r w:rsidR="00580102" w:rsidRPr="00FC23C1">
              <w:rPr>
                <w:lang w:val="ro-RO" w:eastAsia="ro-RO"/>
              </w:rPr>
              <w:t xml:space="preserve"> </w:t>
            </w:r>
          </w:p>
          <w:p w:rsidR="00041127" w:rsidRPr="00FC23C1" w:rsidRDefault="008C7E34" w:rsidP="00D1740D">
            <w:pPr>
              <w:ind w:firstLine="591"/>
              <w:jc w:val="both"/>
              <w:rPr>
                <w:lang w:val="ro-RO" w:eastAsia="ro-RO"/>
              </w:rPr>
            </w:pPr>
            <w:r w:rsidRPr="00FC23C1">
              <w:rPr>
                <w:lang w:val="ro-RO" w:eastAsia="ro-RO"/>
              </w:rPr>
              <w:t>De menționat că d</w:t>
            </w:r>
            <w:r w:rsidR="00041127" w:rsidRPr="00FC23C1">
              <w:rPr>
                <w:lang w:val="ro-RO" w:eastAsia="ro-RO"/>
              </w:rPr>
              <w:t>ezechilibrele negative</w:t>
            </w:r>
            <w:r w:rsidR="00580102" w:rsidRPr="00FC23C1">
              <w:rPr>
                <w:lang w:val="ro-RO" w:eastAsia="ro-RO"/>
              </w:rPr>
              <w:t xml:space="preserve"> în rețeaua de transport al gazelor naturale </w:t>
            </w:r>
            <w:r w:rsidR="00041127" w:rsidRPr="00FC23C1">
              <w:rPr>
                <w:lang w:val="ro-RO" w:eastAsia="ro-RO"/>
              </w:rPr>
              <w:t>pot fi cauzate de factori obiectivi (ex: condițiile meteorologice care pot determina consumul majorat al gazelor naturale de către consumatorii finali, în special de către întreprinderile termoenergetice ca urmare a prelungirii sezonului de încălzire).</w:t>
            </w:r>
          </w:p>
          <w:p w:rsidR="0082002B" w:rsidRPr="00FC23C1" w:rsidRDefault="0082002B" w:rsidP="00D1740D">
            <w:pPr>
              <w:ind w:firstLine="591"/>
              <w:jc w:val="both"/>
              <w:rPr>
                <w:lang w:val="ro-RO"/>
              </w:rPr>
            </w:pPr>
            <w:r w:rsidRPr="00FC23C1">
              <w:rPr>
                <w:lang w:val="ro-RO"/>
              </w:rPr>
              <w:t>Regulile de echilibrare bazate pe piață impun preluarea responsabilității (inclusiv financiare) de către utilizatorii de sistem pentru dezechilibrele create pentru a reduce la minimum necesitatea ca OST să întreprindă acţiuni de echilibrare. Responsabilitatea de echilibrare a utilizatorilor</w:t>
            </w:r>
            <w:r w:rsidR="008C7E34" w:rsidRPr="00FC23C1">
              <w:rPr>
                <w:lang w:val="ro-RO"/>
              </w:rPr>
              <w:t xml:space="preserve"> de sistem</w:t>
            </w:r>
            <w:r w:rsidRPr="00FC23C1">
              <w:rPr>
                <w:lang w:val="ro-RO"/>
              </w:rPr>
              <w:t xml:space="preserve"> stimulează lichiditatea și contribuie la o mai mare concurență pe piață.</w:t>
            </w:r>
          </w:p>
          <w:p w:rsidR="00041127" w:rsidRPr="00993D39" w:rsidRDefault="00041127" w:rsidP="00D1740D">
            <w:pPr>
              <w:pBdr>
                <w:top w:val="nil"/>
                <w:left w:val="nil"/>
                <w:bottom w:val="nil"/>
                <w:right w:val="nil"/>
                <w:between w:val="nil"/>
              </w:pBdr>
              <w:tabs>
                <w:tab w:val="left" w:pos="851"/>
                <w:tab w:val="left" w:pos="1134"/>
              </w:tabs>
              <w:ind w:firstLine="591"/>
              <w:jc w:val="both"/>
            </w:pPr>
            <w:r w:rsidRPr="00FC23C1">
              <w:rPr>
                <w:lang w:val="ro-RO"/>
              </w:rPr>
              <w:t>În acest sens</w:t>
            </w:r>
            <w:r w:rsidR="00746A12" w:rsidRPr="00FC23C1">
              <w:rPr>
                <w:lang w:val="ro-RO"/>
              </w:rPr>
              <w:t>,</w:t>
            </w:r>
            <w:r w:rsidRPr="00FC23C1">
              <w:rPr>
                <w:lang w:val="ro-RO"/>
              </w:rPr>
              <w:t xml:space="preserve"> ANRE urmărește </w:t>
            </w:r>
            <w:r w:rsidR="00DE48BF">
              <w:rPr>
                <w:lang w:val="ro-RO"/>
              </w:rPr>
              <w:t>ela</w:t>
            </w:r>
            <w:r w:rsidR="00D66A4C">
              <w:rPr>
                <w:lang w:val="ro-RO"/>
              </w:rPr>
              <w:t xml:space="preserve">borarea şi aprobarea </w:t>
            </w:r>
            <w:r w:rsidR="009D488C">
              <w:rPr>
                <w:lang w:val="ro-RO"/>
              </w:rPr>
              <w:t>Metodologiei</w:t>
            </w:r>
            <w:r w:rsidR="00D66A4C">
              <w:rPr>
                <w:lang w:val="ro-RO"/>
              </w:rPr>
              <w:t xml:space="preserve"> </w:t>
            </w:r>
            <w:r w:rsidR="00D66A4C" w:rsidRPr="00C03671">
              <w:rPr>
                <w:lang w:val="ro-RO"/>
              </w:rPr>
              <w:t xml:space="preserve">de calculare a </w:t>
            </w:r>
            <w:r w:rsidR="00DE48BF" w:rsidRPr="00C03671">
              <w:rPr>
                <w:lang w:val="ro-RO"/>
              </w:rPr>
              <w:t>plății</w:t>
            </w:r>
            <w:r w:rsidR="00D66A4C" w:rsidRPr="00C03671">
              <w:rPr>
                <w:lang w:val="ro-RO"/>
              </w:rPr>
              <w:t xml:space="preserve"> pentru dezechilibru zilnic</w:t>
            </w:r>
            <w:r w:rsidR="00D66A4C">
              <w:rPr>
                <w:lang w:val="ro-RO"/>
              </w:rPr>
              <w:t xml:space="preserve">, </w:t>
            </w:r>
            <w:r w:rsidRPr="00FC23C1">
              <w:rPr>
                <w:lang w:val="ro-RO"/>
              </w:rPr>
              <w:t xml:space="preserve">care să </w:t>
            </w:r>
            <w:r w:rsidRPr="00D745CC">
              <w:rPr>
                <w:lang w:val="ro-RO"/>
              </w:rPr>
              <w:t>reglementeze obligațiile participanților la piața gazelor naturale în ceea ce privește echilibrarea, calculul</w:t>
            </w:r>
            <w:r w:rsidRPr="00FC23C1">
              <w:rPr>
                <w:lang w:val="ro-RO"/>
              </w:rPr>
              <w:t xml:space="preserve"> dezechilibrelor cauzate de utilizatorii de sistem și plățile financiare aferente.</w:t>
            </w:r>
          </w:p>
          <w:p w:rsidR="00041127" w:rsidRPr="00FC23C1" w:rsidRDefault="00041127" w:rsidP="00D1740D">
            <w:pPr>
              <w:pBdr>
                <w:top w:val="nil"/>
                <w:left w:val="nil"/>
                <w:bottom w:val="nil"/>
                <w:right w:val="nil"/>
                <w:between w:val="nil"/>
              </w:pBdr>
              <w:tabs>
                <w:tab w:val="left" w:pos="851"/>
                <w:tab w:val="left" w:pos="1134"/>
              </w:tabs>
              <w:ind w:firstLine="591"/>
              <w:jc w:val="both"/>
              <w:rPr>
                <w:lang w:val="ro-RO" w:eastAsia="ru-MD"/>
              </w:rPr>
            </w:pPr>
            <w:r w:rsidRPr="00FC23C1">
              <w:rPr>
                <w:lang w:val="ro-RO" w:eastAsia="ro-RO"/>
              </w:rPr>
              <w:t>Părțile responsabile de echilibrare (utilizatorii de sistem) care au creat dezechilibre pozitive sau negative prin preluare insuficientă sau în exces a gazelor naturale din rețeaua OST sunt obligate să plătească pentru dezechilibrele provocate.</w:t>
            </w:r>
          </w:p>
          <w:p w:rsidR="00EF116A" w:rsidRDefault="004D31D3" w:rsidP="00104B93">
            <w:pPr>
              <w:pStyle w:val="Default"/>
              <w:ind w:firstLine="591"/>
              <w:jc w:val="both"/>
              <w:rPr>
                <w:lang w:val="ro-MD"/>
              </w:rPr>
            </w:pPr>
            <w:r w:rsidRPr="00FC23C1">
              <w:rPr>
                <w:lang w:val="ro-RO" w:eastAsia="ro-RO"/>
              </w:rPr>
              <w:t xml:space="preserve">Mecanismul de echilibrare aplicabil în Republica Moldova este conceptual diferit de cel stabilit în Codul rețelelor de gaze naturale și aplicabil în statele vecine, creând diverse probleme </w:t>
            </w:r>
            <w:r w:rsidR="00935DD6" w:rsidRPr="00FC23C1">
              <w:rPr>
                <w:lang w:val="ro-RO" w:eastAsia="ro-RO"/>
              </w:rPr>
              <w:t xml:space="preserve">la </w:t>
            </w:r>
            <w:r w:rsidRPr="00FC23C1">
              <w:rPr>
                <w:lang w:val="ro-RO" w:eastAsia="ro-RO"/>
              </w:rPr>
              <w:t xml:space="preserve"> implementare. </w:t>
            </w:r>
            <w:r w:rsidR="00935DD6" w:rsidRPr="00FC23C1">
              <w:rPr>
                <w:lang w:val="ro-RO" w:eastAsia="ro-RO"/>
              </w:rPr>
              <w:t>P</w:t>
            </w:r>
            <w:r w:rsidRPr="00FC23C1">
              <w:rPr>
                <w:lang w:val="ro-RO" w:eastAsia="ro-RO"/>
              </w:rPr>
              <w:t xml:space="preserve">otrivit contractelor de furnizare a gazelor naturale cu consumatorii </w:t>
            </w:r>
            <w:r w:rsidRPr="00F07396">
              <w:rPr>
                <w:lang w:val="ro-MD" w:eastAsia="ro-RO"/>
              </w:rPr>
              <w:t>noncasnici</w:t>
            </w:r>
            <w:r w:rsidR="00F07396" w:rsidRPr="00F07396">
              <w:rPr>
                <w:lang w:val="ro-MD"/>
              </w:rPr>
              <w:t xml:space="preserve"> în cazul utilizării gazelor naturale în volum, ce depășește cu 5 (cinci) la sută din volumul lunar </w:t>
            </w:r>
            <w:r w:rsidR="00986FB8" w:rsidRPr="00F07396">
              <w:rPr>
                <w:lang w:val="ro-MD"/>
              </w:rPr>
              <w:t>contrac</w:t>
            </w:r>
            <w:r w:rsidR="00986FB8">
              <w:rPr>
                <w:lang w:val="ro-MD"/>
              </w:rPr>
              <w:t>tat</w:t>
            </w:r>
            <w:r w:rsidR="00F07396" w:rsidRPr="00F07396">
              <w:rPr>
                <w:lang w:val="ro-MD"/>
              </w:rPr>
              <w:t>, fără coordonarea cu Furnizorul, Consumatorul noncasnic recuper</w:t>
            </w:r>
            <w:r w:rsidR="00F07396">
              <w:rPr>
                <w:lang w:val="ro-MD"/>
              </w:rPr>
              <w:t>ă</w:t>
            </w:r>
            <w:r w:rsidR="00F07396" w:rsidRPr="00F07396">
              <w:rPr>
                <w:lang w:val="ro-MD"/>
              </w:rPr>
              <w:t xml:space="preserve"> prejudiciul cauzat</w:t>
            </w:r>
            <w:r w:rsidRPr="00F07396">
              <w:rPr>
                <w:lang w:val="ro-MD"/>
              </w:rPr>
              <w:t xml:space="preserve">. </w:t>
            </w:r>
          </w:p>
          <w:p w:rsidR="00D745CC" w:rsidRPr="00A273AD" w:rsidRDefault="00D745CC" w:rsidP="00104B93">
            <w:pPr>
              <w:pStyle w:val="Default"/>
              <w:ind w:firstLine="591"/>
              <w:jc w:val="both"/>
              <w:rPr>
                <w:lang w:val="ro-MD"/>
              </w:rPr>
            </w:pPr>
            <w:r w:rsidRPr="00A273AD">
              <w:rPr>
                <w:lang w:val="ro-MD"/>
              </w:rPr>
              <w:t xml:space="preserve">Totodată, în caz de furnizare incompletă de către Furnizor a volumului trimestrial de gaze naturale din vina sa mai mult decât cu 5 la sută, Furnizorul achită Consumatorului noncasnic prejudiciul cauzat, cu </w:t>
            </w:r>
            <w:r w:rsidR="00003036" w:rsidRPr="00A273AD">
              <w:rPr>
                <w:lang w:val="ro-MD"/>
              </w:rPr>
              <w:t>excepția</w:t>
            </w:r>
            <w:r w:rsidRPr="00A273AD">
              <w:rPr>
                <w:lang w:val="ro-MD"/>
              </w:rPr>
              <w:t xml:space="preserve"> cazurilor de reducere a volumelor de gaze naturale furnizate din cauza neachitării de către Consumatorul noncasnic a gazelor naturale utilizate</w:t>
            </w:r>
            <w:r w:rsidRPr="007178D6">
              <w:rPr>
                <w:lang w:val="en-GB"/>
              </w:rPr>
              <w:t>.</w:t>
            </w:r>
          </w:p>
          <w:p w:rsidR="00036ABE" w:rsidRPr="00FC23C1" w:rsidRDefault="004D31D3" w:rsidP="00104B93">
            <w:pPr>
              <w:pStyle w:val="Default"/>
              <w:ind w:firstLine="591"/>
              <w:jc w:val="both"/>
              <w:rPr>
                <w:lang w:val="ro-RO"/>
              </w:rPr>
            </w:pPr>
            <w:r w:rsidRPr="00A273AD">
              <w:rPr>
                <w:lang w:val="ro-RO"/>
              </w:rPr>
              <w:t xml:space="preserve">De menționat că furnizorii de gaze </w:t>
            </w:r>
            <w:r w:rsidR="00205A53" w:rsidRPr="00A273AD">
              <w:rPr>
                <w:lang w:val="ro-RO"/>
              </w:rPr>
              <w:t>naturale au venit cu demersuri</w:t>
            </w:r>
            <w:r w:rsidRPr="00A273AD">
              <w:rPr>
                <w:lang w:val="ro-RO"/>
              </w:rPr>
              <w:t xml:space="preserve"> corespunzătoare la ANRE pentru excluderea prevederilor respective din clauzele obligatorii ale contractelor prevăzute în Regulamentul privind furnizarea gazelor naturale aprobat prin Hotărârea ANRE nr. 113/2019</w:t>
            </w:r>
            <w:r w:rsidR="00E851EB" w:rsidRPr="00A273AD">
              <w:rPr>
                <w:lang w:val="ro-RO"/>
              </w:rPr>
              <w:t>.</w:t>
            </w:r>
            <w:r w:rsidR="005E296F" w:rsidRPr="00FC23C1">
              <w:rPr>
                <w:lang w:val="ro-RO"/>
              </w:rPr>
              <w:tab/>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jc w:val="both"/>
              <w:rPr>
                <w:lang w:val="ro-RO" w:eastAsia="ro-RO"/>
              </w:rPr>
            </w:pPr>
            <w:r w:rsidRPr="00FC23C1">
              <w:rPr>
                <w:b/>
                <w:i/>
                <w:lang w:val="ro-RO"/>
              </w:rPr>
              <w:lastRenderedPageBreak/>
              <w:t>c)   Cauzele care au dus la apariția problemei.</w:t>
            </w:r>
          </w:p>
        </w:tc>
      </w:tr>
      <w:tr w:rsidR="00647BBE" w:rsidRPr="00FC23C1" w:rsidTr="00003036">
        <w:trPr>
          <w:trHeight w:val="903"/>
        </w:trPr>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5A2AD7" w:rsidRPr="00225FE9" w:rsidRDefault="005A2AD7" w:rsidP="005A2AD7">
            <w:pPr>
              <w:ind w:firstLine="567"/>
              <w:jc w:val="both"/>
              <w:rPr>
                <w:lang w:val="ro-RO"/>
              </w:rPr>
            </w:pPr>
            <w:bookmarkStart w:id="0" w:name="_heading=h.gjdgxs" w:colFirst="0" w:colLast="0"/>
            <w:bookmarkEnd w:id="0"/>
            <w:r w:rsidRPr="00225FE9">
              <w:rPr>
                <w:lang w:val="ro-RO"/>
              </w:rPr>
              <w:t xml:space="preserve">În anul 2021 dezechilibrele din rețeaua OST au afectat regimul normal de funcționare al rețelei de transport al gazelor naturale, fiind pusă în pericol real securitatea aprovizionării cu gaze naturale a Republicii Moldova. În scopul asigurării echilibrării rețelelor de transport gaze naturale și acoperirii dezechilibrelor negative înregistrate de </w:t>
            </w:r>
            <w:r w:rsidRPr="00225FE9" w:rsidDel="00372069">
              <w:rPr>
                <w:lang w:val="ro-RO"/>
              </w:rPr>
              <w:t>S</w:t>
            </w:r>
            <w:r w:rsidRPr="00225FE9">
              <w:rPr>
                <w:lang w:val="ro-RO"/>
              </w:rPr>
              <w:t>A </w:t>
            </w:r>
            <w:r w:rsidRPr="00225FE9" w:rsidDel="00372069">
              <w:rPr>
                <w:lang w:val="ro-RO"/>
              </w:rPr>
              <w:t>„Moldovagaz”</w:t>
            </w:r>
            <w:r w:rsidRPr="00225FE9">
              <w:rPr>
                <w:lang w:val="ro-RO"/>
              </w:rPr>
              <w:t xml:space="preserve">, </w:t>
            </w:r>
            <w:r w:rsidRPr="00225FE9" w:rsidDel="00372069">
              <w:rPr>
                <w:lang w:val="ro-RO"/>
              </w:rPr>
              <w:t>SRL</w:t>
            </w:r>
            <w:r w:rsidRPr="00225FE9">
              <w:rPr>
                <w:lang w:val="ro-RO"/>
              </w:rPr>
              <w:t> </w:t>
            </w:r>
            <w:r w:rsidRPr="00225FE9" w:rsidDel="00372069">
              <w:rPr>
                <w:lang w:val="ro-RO"/>
              </w:rPr>
              <w:t>„Moldovatransgaz”</w:t>
            </w:r>
            <w:r w:rsidRPr="00225FE9">
              <w:rPr>
                <w:lang w:val="ro-RO"/>
              </w:rPr>
              <w:t xml:space="preserve"> a efectuat 8 </w:t>
            </w:r>
            <w:r w:rsidRPr="00225FE9" w:rsidDel="00372069">
              <w:rPr>
                <w:lang w:val="ro-RO"/>
              </w:rPr>
              <w:t>tranzacții de vânzare-cumpărare a gazelor naturale</w:t>
            </w:r>
            <w:r w:rsidRPr="00225FE9">
              <w:rPr>
                <w:lang w:val="ro-RO"/>
              </w:rPr>
              <w:t>, în volum de aproximativ 24,5 milioane m3,  î</w:t>
            </w:r>
            <w:r w:rsidRPr="00225FE9" w:rsidDel="00372069">
              <w:rPr>
                <w:lang w:val="ro-RO"/>
              </w:rPr>
              <w:t>n conformitate cu prevederile Hotărâri</w:t>
            </w:r>
            <w:r w:rsidRPr="00225FE9">
              <w:rPr>
                <w:lang w:val="ro-RO"/>
              </w:rPr>
              <w:t>lor</w:t>
            </w:r>
            <w:r w:rsidRPr="00225FE9" w:rsidDel="00372069">
              <w:rPr>
                <w:lang w:val="ro-RO"/>
              </w:rPr>
              <w:t xml:space="preserve"> ANRE nr. 220 din 20.05.2021 </w:t>
            </w:r>
            <w:r w:rsidRPr="00225FE9">
              <w:rPr>
                <w:lang w:val="ro-RO"/>
              </w:rPr>
              <w:t xml:space="preserve">și </w:t>
            </w:r>
            <w:r w:rsidRPr="00225FE9" w:rsidDel="00372069">
              <w:rPr>
                <w:lang w:val="ro-RO"/>
              </w:rPr>
              <w:t xml:space="preserve">nr. </w:t>
            </w:r>
            <w:r w:rsidRPr="00225FE9">
              <w:rPr>
                <w:lang w:val="ro-RO"/>
              </w:rPr>
              <w:t>465</w:t>
            </w:r>
            <w:r w:rsidRPr="00225FE9" w:rsidDel="00372069">
              <w:rPr>
                <w:lang w:val="ro-RO"/>
              </w:rPr>
              <w:t xml:space="preserve"> din 2</w:t>
            </w:r>
            <w:r w:rsidRPr="00225FE9">
              <w:rPr>
                <w:lang w:val="ro-RO"/>
              </w:rPr>
              <w:t>2</w:t>
            </w:r>
            <w:r w:rsidRPr="00225FE9" w:rsidDel="00372069">
              <w:rPr>
                <w:lang w:val="ro-RO"/>
              </w:rPr>
              <w:t>.</w:t>
            </w:r>
            <w:r w:rsidRPr="00225FE9">
              <w:rPr>
                <w:lang w:val="ro-RO"/>
              </w:rPr>
              <w:t>10</w:t>
            </w:r>
            <w:r w:rsidRPr="00225FE9" w:rsidDel="00372069">
              <w:rPr>
                <w:lang w:val="ro-RO"/>
              </w:rPr>
              <w:t>.2021 cu privire la decontarea dezechilibrelor din rețeaua de transport al gazelor naturale</w:t>
            </w:r>
            <w:r w:rsidRPr="00225FE9">
              <w:rPr>
                <w:lang w:val="ro-RO"/>
              </w:rPr>
              <w:t xml:space="preserve"> a</w:t>
            </w:r>
            <w:r w:rsidRPr="00225FE9" w:rsidDel="00372069">
              <w:rPr>
                <w:lang w:val="ro-RO"/>
              </w:rPr>
              <w:t xml:space="preserve"> SRL „Moldovatransgaz”</w:t>
            </w:r>
            <w:r w:rsidRPr="00225FE9">
              <w:rPr>
                <w:lang w:val="ro-RO"/>
              </w:rPr>
              <w:t>, precum și a Dispozițiilor nr. 1 din 22.10.2021 și nr. 5 din 19.11.2021 a</w:t>
            </w:r>
            <w:r w:rsidRPr="00225FE9" w:rsidDel="00372069">
              <w:rPr>
                <w:lang w:val="ro-RO"/>
              </w:rPr>
              <w:t xml:space="preserve"> </w:t>
            </w:r>
            <w:r w:rsidRPr="00225FE9">
              <w:rPr>
                <w:lang w:val="ro-RO"/>
              </w:rPr>
              <w:t>Comisiei pentru Situații Excepționale a Republicii Moldova.</w:t>
            </w:r>
          </w:p>
          <w:p w:rsidR="005A2AD7" w:rsidRPr="00225FE9" w:rsidRDefault="005A2AD7" w:rsidP="005A2AD7">
            <w:pPr>
              <w:ind w:firstLine="567"/>
              <w:jc w:val="both"/>
              <w:rPr>
                <w:lang w:val="ro-RO"/>
              </w:rPr>
            </w:pPr>
            <w:r w:rsidRPr="00225FE9">
              <w:rPr>
                <w:lang w:val="ro-RO"/>
              </w:rPr>
              <w:t>Totodată, echilibrarea rețelelor de transport gaze naturale</w:t>
            </w:r>
            <w:r w:rsidRPr="00225FE9" w:rsidDel="00372069">
              <w:rPr>
                <w:lang w:val="ro-RO"/>
              </w:rPr>
              <w:t xml:space="preserve"> </w:t>
            </w:r>
            <w:r w:rsidRPr="00225FE9">
              <w:rPr>
                <w:lang w:val="ro-RO"/>
              </w:rPr>
              <w:t xml:space="preserve">a fost gestionată de Comisia pentru Situații Excepționale a Republicii Moldova prin Dispozițiile sale, care a reglementat raporturile contractuale între </w:t>
            </w:r>
            <w:r w:rsidRPr="00225FE9" w:rsidDel="00372069">
              <w:rPr>
                <w:lang w:val="ro-RO"/>
              </w:rPr>
              <w:t>S</w:t>
            </w:r>
            <w:r w:rsidRPr="00225FE9">
              <w:rPr>
                <w:lang w:val="ro-RO"/>
              </w:rPr>
              <w:t>A</w:t>
            </w:r>
            <w:r w:rsidRPr="00225FE9" w:rsidDel="00372069">
              <w:rPr>
                <w:lang w:val="ro-RO"/>
              </w:rPr>
              <w:t xml:space="preserve"> „Moldovagaz”</w:t>
            </w:r>
            <w:r w:rsidRPr="00225FE9">
              <w:rPr>
                <w:lang w:val="ro-RO"/>
              </w:rPr>
              <w:t xml:space="preserve"> și </w:t>
            </w:r>
            <w:r w:rsidRPr="00225FE9" w:rsidDel="00372069">
              <w:rPr>
                <w:lang w:val="ro-RO"/>
              </w:rPr>
              <w:t>S</w:t>
            </w:r>
            <w:r w:rsidRPr="00225FE9">
              <w:rPr>
                <w:lang w:val="ro-RO"/>
              </w:rPr>
              <w:t>A</w:t>
            </w:r>
            <w:r w:rsidRPr="00225FE9" w:rsidDel="00372069">
              <w:rPr>
                <w:lang w:val="ro-RO"/>
              </w:rPr>
              <w:t xml:space="preserve"> „</w:t>
            </w:r>
            <w:r w:rsidRPr="00225FE9">
              <w:rPr>
                <w:lang w:val="ro-RO"/>
              </w:rPr>
              <w:t>Energocom</w:t>
            </w:r>
            <w:r w:rsidRPr="00225FE9" w:rsidDel="00372069">
              <w:rPr>
                <w:lang w:val="ro-RO"/>
              </w:rPr>
              <w:t>”</w:t>
            </w:r>
            <w:r w:rsidRPr="00225FE9">
              <w:rPr>
                <w:lang w:val="ro-RO"/>
              </w:rPr>
              <w:t>.</w:t>
            </w:r>
          </w:p>
          <w:p w:rsidR="00036ABE" w:rsidRPr="00FC23C1" w:rsidRDefault="005A2AD7" w:rsidP="005A2AD7">
            <w:pPr>
              <w:ind w:firstLine="591"/>
              <w:jc w:val="both"/>
              <w:rPr>
                <w:lang w:val="ro-RO"/>
              </w:rPr>
            </w:pPr>
            <w:r w:rsidRPr="00225FE9">
              <w:rPr>
                <w:lang w:val="ro-RO"/>
              </w:rPr>
              <w:t>Regulile de echilibrare bazate pe piață impun preluarea responsabilității (inclusiv financiare) de către utilizatorii de sistem pentru dezechilibrele create pentru a reduce la minimum necesitatea ca OST să întreprindă acţiuni de echilibrare (</w:t>
            </w:r>
            <w:r w:rsidRPr="00225FE9">
              <w:t>achiziționarea gazului de echilibrare prin contractul de servicii de echilibrare</w:t>
            </w:r>
            <w:r w:rsidRPr="00225FE9">
              <w:rPr>
                <w:lang w:val="ro-RO"/>
              </w:rPr>
              <w:t>). Responsabilitatea de echilibrare a utilizatorilor de sistem stimulează lichiditatea și contribuie la o mai mare concurență pe piață.</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lastRenderedPageBreak/>
              <w:t>d) Descrieți cum a evoluat problema şi cum va evolua fără o intervenție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2129D2" w:rsidRPr="00FC23C1" w:rsidRDefault="005E296F" w:rsidP="00437972">
            <w:pPr>
              <w:ind w:firstLine="303"/>
              <w:jc w:val="both"/>
              <w:rPr>
                <w:lang w:val="ro-RO"/>
              </w:rPr>
            </w:pPr>
            <w:bookmarkStart w:id="1" w:name="_GoBack"/>
            <w:r w:rsidRPr="00FC23C1">
              <w:rPr>
                <w:lang w:val="ro-RO"/>
              </w:rPr>
              <w:t>În cazul în care ANR</w:t>
            </w:r>
            <w:r w:rsidR="00DE48BF">
              <w:rPr>
                <w:lang w:val="ro-RO"/>
              </w:rPr>
              <w:t>E nu va interveni prin elaborarea şi aprobarea</w:t>
            </w:r>
            <w:r w:rsidRPr="00FC23C1">
              <w:rPr>
                <w:lang w:val="ro-RO"/>
              </w:rPr>
              <w:t xml:space="preserve"> </w:t>
            </w:r>
            <w:r w:rsidR="00DE48BF" w:rsidRPr="00FC23C1">
              <w:rPr>
                <w:lang w:val="ro-RO"/>
              </w:rPr>
              <w:t>plății</w:t>
            </w:r>
            <w:r w:rsidRPr="00FC23C1">
              <w:rPr>
                <w:lang w:val="ro-RO"/>
              </w:rPr>
              <w:t xml:space="preserve"> pentru dezechilibru zilnic </w:t>
            </w:r>
            <w:r w:rsidR="00266C98" w:rsidRPr="00FC23C1">
              <w:rPr>
                <w:lang w:val="ro-RO"/>
              </w:rPr>
              <w:t xml:space="preserve">Entitatea de echilibrare </w:t>
            </w:r>
            <w:r w:rsidR="003D63D4" w:rsidRPr="00FC23C1">
              <w:rPr>
                <w:lang w:val="ro-RO"/>
              </w:rPr>
              <w:t xml:space="preserve">în continuare </w:t>
            </w:r>
            <w:r w:rsidR="00BD1202">
              <w:rPr>
                <w:lang w:val="ro-RO"/>
              </w:rPr>
              <w:t>nu va putea încasa plata de la</w:t>
            </w:r>
            <w:r w:rsidR="00266C98" w:rsidRPr="00FC23C1">
              <w:rPr>
                <w:lang w:val="ro-RO"/>
              </w:rPr>
              <w:t xml:space="preserve"> utilizatorii de sistem care au cauzat</w:t>
            </w:r>
            <w:r w:rsidR="003D63D4" w:rsidRPr="00FC23C1">
              <w:rPr>
                <w:lang w:val="ro-RO"/>
              </w:rPr>
              <w:t xml:space="preserve"> dezechilibre. </w:t>
            </w:r>
          </w:p>
          <w:p w:rsidR="003D63D4" w:rsidRPr="00FC23C1" w:rsidRDefault="002129D2" w:rsidP="00437972">
            <w:pPr>
              <w:ind w:firstLine="303"/>
              <w:jc w:val="both"/>
              <w:rPr>
                <w:lang w:val="ro-RO"/>
              </w:rPr>
            </w:pPr>
            <w:r w:rsidRPr="00FC23C1">
              <w:rPr>
                <w:lang w:val="ro-RO"/>
              </w:rPr>
              <w:t>D</w:t>
            </w:r>
            <w:r w:rsidR="003D63D4" w:rsidRPr="00FC23C1">
              <w:rPr>
                <w:lang w:val="ro-RO"/>
              </w:rPr>
              <w:t>ezechilibrele create de utilizatorii de sistem pot afecta r</w:t>
            </w:r>
            <w:r w:rsidR="003D63D4" w:rsidRPr="00FC23C1">
              <w:rPr>
                <w:lang w:val="ro-RO" w:eastAsia="ro-RO"/>
              </w:rPr>
              <w:t xml:space="preserve">egimul de funcționare normal </w:t>
            </w:r>
            <w:r w:rsidR="003D63D4" w:rsidRPr="00FC23C1">
              <w:rPr>
                <w:lang w:val="ro-RO"/>
              </w:rPr>
              <w:t>al rețelei de transport a</w:t>
            </w:r>
            <w:r w:rsidR="009D488C">
              <w:rPr>
                <w:lang w:val="ro-RO"/>
              </w:rPr>
              <w:t>l</w:t>
            </w:r>
            <w:r w:rsidR="003D63D4" w:rsidRPr="00FC23C1">
              <w:rPr>
                <w:lang w:val="ro-RO"/>
              </w:rPr>
              <w:t xml:space="preserve"> gazelor naturale și </w:t>
            </w:r>
            <w:r w:rsidR="003D63D4" w:rsidRPr="00FC23C1">
              <w:rPr>
                <w:lang w:val="ro-RO" w:eastAsia="ro-RO"/>
              </w:rPr>
              <w:t>pune în pericol securitatea aprovizionării cu gaze naturale a Republicii Moldova. În ace</w:t>
            </w:r>
            <w:r w:rsidRPr="00FC23C1">
              <w:rPr>
                <w:lang w:val="ro-RO" w:eastAsia="ro-RO"/>
              </w:rPr>
              <w:t>a</w:t>
            </w:r>
            <w:r w:rsidR="003D63D4" w:rsidRPr="00FC23C1">
              <w:rPr>
                <w:lang w:val="ro-RO" w:eastAsia="ro-RO"/>
              </w:rPr>
              <w:t>stă situație</w:t>
            </w:r>
            <w:r w:rsidRPr="00FC23C1">
              <w:rPr>
                <w:lang w:val="ro-RO" w:eastAsia="ro-RO"/>
              </w:rPr>
              <w:t xml:space="preserve">, </w:t>
            </w:r>
            <w:r w:rsidR="003D63D4" w:rsidRPr="00FC23C1">
              <w:rPr>
                <w:lang w:val="ro-RO" w:eastAsia="ro-RO"/>
              </w:rPr>
              <w:t xml:space="preserve">ar putea fi </w:t>
            </w:r>
            <w:r w:rsidRPr="00FC23C1">
              <w:rPr>
                <w:lang w:val="ro-RO" w:eastAsia="ro-RO"/>
              </w:rPr>
              <w:t xml:space="preserve">constatat </w:t>
            </w:r>
            <w:r w:rsidR="00EC7E50">
              <w:rPr>
                <w:lang w:val="ro-RO" w:eastAsia="ro-RO"/>
              </w:rPr>
              <w:t xml:space="preserve">situaţie </w:t>
            </w:r>
            <w:proofErr w:type="spellStart"/>
            <w:r w:rsidR="00EC7E50">
              <w:rPr>
                <w:lang w:val="ro-RO" w:eastAsia="ro-RO"/>
              </w:rPr>
              <w:t>excepţională</w:t>
            </w:r>
            <w:proofErr w:type="spellEnd"/>
            <w:r w:rsidR="003D63D4" w:rsidRPr="00FC23C1">
              <w:rPr>
                <w:lang w:val="ro-RO" w:eastAsia="ro-RO"/>
              </w:rPr>
              <w:t xml:space="preserve"> pe piața gazelor naturale</w:t>
            </w:r>
            <w:r w:rsidRPr="00FC23C1">
              <w:rPr>
                <w:lang w:val="ro-RO" w:eastAsia="ro-RO"/>
              </w:rPr>
              <w:t>,</w:t>
            </w:r>
            <w:r w:rsidR="003D63D4" w:rsidRPr="00FC23C1">
              <w:rPr>
                <w:lang w:val="ro-RO" w:eastAsia="ro-RO"/>
              </w:rPr>
              <w:t xml:space="preserve"> iar Comisia </w:t>
            </w:r>
            <w:r w:rsidR="00A273AD">
              <w:rPr>
                <w:lang w:val="ro-RO" w:eastAsia="ro-RO"/>
              </w:rPr>
              <w:t xml:space="preserve">Excepțională </w:t>
            </w:r>
            <w:r w:rsidR="003D63D4" w:rsidRPr="00FC23C1">
              <w:rPr>
                <w:lang w:val="ro-RO" w:eastAsia="ro-RO"/>
              </w:rPr>
              <w:t>va fi nevoită să ia măsuri cu caracter excepțional</w:t>
            </w:r>
            <w:r w:rsidRPr="00FC23C1">
              <w:rPr>
                <w:lang w:val="ro-RO" w:eastAsia="ro-RO"/>
              </w:rPr>
              <w:t>.</w:t>
            </w:r>
          </w:p>
          <w:p w:rsidR="005E296F" w:rsidRPr="00FC23C1" w:rsidRDefault="002129D2" w:rsidP="00437972">
            <w:pPr>
              <w:ind w:firstLine="303"/>
              <w:jc w:val="both"/>
              <w:rPr>
                <w:lang w:val="ro-RO"/>
              </w:rPr>
            </w:pPr>
            <w:r w:rsidRPr="00FC23C1">
              <w:rPr>
                <w:lang w:val="ro-RO"/>
              </w:rPr>
              <w:t xml:space="preserve">Dacă nu va fi asigurat cadrul legal necesar implementări mecanismului de echilibrare stabilit de Codul rețelelor de gaze naturale, </w:t>
            </w:r>
            <w:r w:rsidR="005E296F" w:rsidRPr="00FC23C1">
              <w:rPr>
                <w:lang w:val="ro-RO"/>
              </w:rPr>
              <w:t>Republica Moldova va avea un indicator scăzut la implementarea a</w:t>
            </w:r>
            <w:r w:rsidR="00266C98" w:rsidRPr="00FC23C1">
              <w:rPr>
                <w:lang w:val="ro-RO"/>
              </w:rPr>
              <w:t xml:space="preserve">quis-ului comunitar, fapt ce va fi notat de Secretariatul Comunității Energetice în </w:t>
            </w:r>
            <w:r w:rsidR="008C7E34" w:rsidRPr="00FC23C1">
              <w:rPr>
                <w:lang w:val="ro-RO"/>
              </w:rPr>
              <w:t>r</w:t>
            </w:r>
            <w:r w:rsidR="00266C98" w:rsidRPr="00FC23C1">
              <w:rPr>
                <w:lang w:val="ro-RO"/>
              </w:rPr>
              <w:t>apoartele sale de</w:t>
            </w:r>
            <w:r w:rsidR="005E296F" w:rsidRPr="00FC23C1">
              <w:rPr>
                <w:lang w:val="ro-RO"/>
              </w:rPr>
              <w:t xml:space="preserve"> monitorizare a pieței angro a gazelor natur</w:t>
            </w:r>
            <w:r w:rsidR="00266C98" w:rsidRPr="00FC23C1">
              <w:rPr>
                <w:lang w:val="ro-RO"/>
              </w:rPr>
              <w:t xml:space="preserve">ale. </w:t>
            </w:r>
          </w:p>
          <w:p w:rsidR="00AD5350" w:rsidRPr="00FC23C1" w:rsidRDefault="00CE0B2F" w:rsidP="00437972">
            <w:pPr>
              <w:ind w:firstLine="303"/>
              <w:jc w:val="both"/>
              <w:rPr>
                <w:lang w:val="ro-RO"/>
              </w:rPr>
            </w:pPr>
            <w:r w:rsidRPr="00FC23C1">
              <w:rPr>
                <w:lang w:val="ro-RO"/>
              </w:rPr>
              <w:t>Pornind de la realitățile pieței de gaze naturale a</w:t>
            </w:r>
            <w:r w:rsidR="009D488C">
              <w:rPr>
                <w:lang w:val="ro-RO"/>
              </w:rPr>
              <w:t>l</w:t>
            </w:r>
            <w:r w:rsidRPr="00FC23C1">
              <w:rPr>
                <w:lang w:val="ro-RO"/>
              </w:rPr>
              <w:t xml:space="preserve"> Republicii Moldova</w:t>
            </w:r>
            <w:r w:rsidR="00580102" w:rsidRPr="00FC23C1">
              <w:rPr>
                <w:lang w:val="ro-RO"/>
              </w:rPr>
              <w:t>,</w:t>
            </w:r>
            <w:r w:rsidRPr="00FC23C1">
              <w:rPr>
                <w:lang w:val="ro-RO"/>
              </w:rPr>
              <w:t xml:space="preserve"> la această etapă de dezvoltare cît și riscurile asociate cu securitatea aprovizionării cu gaze naturale, introducerea normelor metodologice care ar permite calcularea plăților pentru dezechilibrele zilnice cauzate de utilizatorii </w:t>
            </w:r>
            <w:r w:rsidR="008C7E34" w:rsidRPr="00FC23C1">
              <w:rPr>
                <w:lang w:val="ro-RO"/>
              </w:rPr>
              <w:t>d</w:t>
            </w:r>
            <w:r w:rsidR="00580102" w:rsidRPr="00FC23C1">
              <w:rPr>
                <w:lang w:val="ro-RO"/>
              </w:rPr>
              <w:t>e sistem este imperativă.</w:t>
            </w:r>
            <w:bookmarkEnd w:id="1"/>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e) Descrieți cadrul juridic actual aplicabil raporturilor analizate şi identificați carențele prevederilor normative în vigoare, identificați documentele de politici şi reglementările existente care condiționează intervenția statului</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580102" w:rsidRDefault="00580102" w:rsidP="00580102">
            <w:pPr>
              <w:ind w:firstLine="601"/>
              <w:jc w:val="both"/>
              <w:rPr>
                <w:lang w:val="ro-RO" w:eastAsia="en-US"/>
              </w:rPr>
            </w:pPr>
            <w:r w:rsidRPr="00D2379B">
              <w:rPr>
                <w:lang w:val="ro-RO"/>
              </w:rPr>
              <w:t xml:space="preserve">În temeiul </w:t>
            </w:r>
            <w:r w:rsidRPr="00D2379B">
              <w:rPr>
                <w:i/>
                <w:lang w:val="ro-RO"/>
              </w:rPr>
              <w:t>art. 7 alin.</w:t>
            </w:r>
            <w:r w:rsidR="009D488C" w:rsidRPr="00D2379B">
              <w:rPr>
                <w:i/>
                <w:lang w:val="ro-RO"/>
              </w:rPr>
              <w:t xml:space="preserve"> (1)</w:t>
            </w:r>
            <w:r w:rsidRPr="00D2379B">
              <w:rPr>
                <w:i/>
                <w:lang w:val="ro-RO"/>
              </w:rPr>
              <w:t xml:space="preserve">  lit.</w:t>
            </w:r>
            <w:r w:rsidR="009D488C" w:rsidRPr="00D2379B">
              <w:rPr>
                <w:i/>
                <w:lang w:val="ro-RO"/>
              </w:rPr>
              <w:t xml:space="preserve"> q</w:t>
            </w:r>
            <w:r w:rsidR="009D488C" w:rsidRPr="00D2379B">
              <w:rPr>
                <w:i/>
                <w:vertAlign w:val="superscript"/>
                <w:lang w:val="ro-RO"/>
              </w:rPr>
              <w:t>2</w:t>
            </w:r>
            <w:r w:rsidRPr="00D2379B">
              <w:rPr>
                <w:lang w:val="ro-RO"/>
              </w:rPr>
              <w:t>) din Legea cu privire la gazele naturale</w:t>
            </w:r>
            <w:r w:rsidRPr="00FC23C1">
              <w:rPr>
                <w:lang w:val="ro-RO"/>
              </w:rPr>
              <w:t xml:space="preserve"> nr. 108 din 27.05.2016, î</w:t>
            </w:r>
            <w:r w:rsidRPr="00FC23C1">
              <w:rPr>
                <w:color w:val="1F497D" w:themeColor="text2"/>
                <w:lang w:val="ro-RO" w:eastAsia="ro-RO"/>
              </w:rPr>
              <w:t xml:space="preserve">n </w:t>
            </w:r>
            <w:r w:rsidRPr="00FC23C1">
              <w:rPr>
                <w:lang w:val="ro-RO" w:eastAsia="en-US"/>
              </w:rPr>
              <w:t>domeniul reglementării pieţei gazelor naturale şi a schimburilor transfront</w:t>
            </w:r>
            <w:r w:rsidRPr="00FC23C1">
              <w:rPr>
                <w:lang w:val="ro-RO"/>
              </w:rPr>
              <w:t xml:space="preserve">aliere de gaze naturale, ANRE </w:t>
            </w:r>
            <w:r w:rsidRPr="00FC23C1">
              <w:rPr>
                <w:lang w:val="ro-RO" w:eastAsia="en-US"/>
              </w:rPr>
              <w:t>elaborează şi aprobă</w:t>
            </w:r>
            <w:r w:rsidR="00F56A77">
              <w:rPr>
                <w:lang w:val="ro-RO" w:eastAsia="en-US"/>
              </w:rPr>
              <w:t xml:space="preserve"> Metodologia </w:t>
            </w:r>
            <w:r w:rsidR="00F56A77" w:rsidRPr="00C03671">
              <w:rPr>
                <w:lang w:val="ro-RO" w:eastAsia="en-US"/>
              </w:rPr>
              <w:t>de calculare a plății pentru dezechilibru zilnic</w:t>
            </w:r>
            <w:r w:rsidR="00EC7E50" w:rsidRPr="00437972">
              <w:rPr>
                <w:lang w:val="ro-RO" w:eastAsia="en-US"/>
              </w:rPr>
              <w:t xml:space="preserve"> elaborată de operatorul sistemului de transport desemnat de Agenție, și monitorizează respectarea acesteia.</w:t>
            </w:r>
          </w:p>
          <w:p w:rsidR="005400A4" w:rsidRDefault="00EC7E50" w:rsidP="00940A05">
            <w:pPr>
              <w:ind w:firstLine="567"/>
              <w:jc w:val="both"/>
              <w:rPr>
                <w:lang w:val="ro-RO"/>
              </w:rPr>
            </w:pPr>
            <w:r w:rsidRPr="00437972">
              <w:rPr>
                <w:lang w:val="ro-RO" w:eastAsia="en-US"/>
              </w:rPr>
              <w:t>Potrivit art. 92 alin. (31) participanții la piața gazelor naturale sunt obligați să își asume responsabilitatea financiară pentru plata dezechilibrelor provocate, în conformitate cu actele normative de reglementare aprobate de Agenție.</w:t>
            </w:r>
            <w:r w:rsidR="005A2AD7">
              <w:rPr>
                <w:lang w:val="ro-RO" w:eastAsia="en-US"/>
              </w:rPr>
              <w:t xml:space="preserve"> </w:t>
            </w:r>
            <w:r w:rsidR="00F56A77">
              <w:rPr>
                <w:lang w:val="ro-RO" w:eastAsia="ro-RO"/>
              </w:rPr>
              <w:t>P</w:t>
            </w:r>
            <w:r w:rsidR="00641D65" w:rsidRPr="00FC23C1">
              <w:rPr>
                <w:lang w:val="ro-RO" w:eastAsia="ro-RO"/>
              </w:rPr>
              <w:t>otrivit</w:t>
            </w:r>
            <w:r w:rsidR="00B74548" w:rsidRPr="00FC23C1">
              <w:rPr>
                <w:lang w:val="ro-RO"/>
              </w:rPr>
              <w:t xml:space="preserve"> pct. 509 din Codul reţelelor de gaze naturale aprobat prin Hotărârea Consiliului de administrație al ANRE nr.420/2019, </w:t>
            </w:r>
            <w:r w:rsidR="00641D65" w:rsidRPr="00FC23C1">
              <w:rPr>
                <w:lang w:val="ro-RO"/>
              </w:rPr>
              <w:t xml:space="preserve">prevăd că </w:t>
            </w:r>
            <w:r w:rsidR="00B74548" w:rsidRPr="00FC23C1">
              <w:rPr>
                <w:lang w:val="ro-RO"/>
              </w:rPr>
              <w:t>OST (E</w:t>
            </w:r>
            <w:r w:rsidR="00940A05">
              <w:rPr>
                <w:lang w:val="ro-RO"/>
              </w:rPr>
              <w:t>E</w:t>
            </w:r>
            <w:r w:rsidR="00B74548" w:rsidRPr="00FC23C1">
              <w:rPr>
                <w:lang w:val="ro-RO"/>
              </w:rPr>
              <w:t>) elaborează şi prez</w:t>
            </w:r>
            <w:r w:rsidR="00224639">
              <w:rPr>
                <w:lang w:val="ro-RO"/>
              </w:rPr>
              <w:t xml:space="preserve">intă Agenţiei pentru aprobare </w:t>
            </w:r>
            <w:r w:rsidR="009D488C">
              <w:rPr>
                <w:lang w:val="ro-RO"/>
              </w:rPr>
              <w:t>Metodologia</w:t>
            </w:r>
            <w:r w:rsidR="00B74548" w:rsidRPr="00FC23C1">
              <w:rPr>
                <w:lang w:val="ro-RO"/>
              </w:rPr>
              <w:t xml:space="preserve"> de calculare a plăţii pentru dezechilibru zilnic care urmează să fie aplicată în zona sa de echilibrare.</w:t>
            </w:r>
          </w:p>
          <w:p w:rsidR="00EC7E50" w:rsidRPr="00112F86" w:rsidRDefault="00112F86" w:rsidP="00112F86">
            <w:pPr>
              <w:ind w:firstLine="567"/>
              <w:jc w:val="both"/>
              <w:rPr>
                <w:lang w:val="ro-RO"/>
              </w:rPr>
            </w:pPr>
            <w:r>
              <w:rPr>
                <w:lang w:val="ro-RO"/>
              </w:rPr>
              <w:t xml:space="preserve">Prin scrisoarea nr. 27-1271 din 17.12.2121 SRL </w:t>
            </w:r>
            <w:r>
              <w:rPr>
                <w:lang w:val="en-GB"/>
              </w:rPr>
              <w:t>“</w:t>
            </w:r>
            <w:r>
              <w:rPr>
                <w:lang w:val="ro-RO"/>
              </w:rPr>
              <w:t xml:space="preserve">Moldovatransgaz”, </w:t>
            </w:r>
            <w:r>
              <w:t>î</w:t>
            </w:r>
            <w:r>
              <w:rPr>
                <w:lang w:val="ro-RO"/>
              </w:rPr>
              <w:t xml:space="preserve">n calitate de Entitate de Echilibrare a expediat la ANRE proiectul Metodei de calculare a </w:t>
            </w:r>
            <w:r w:rsidRPr="00C03671">
              <w:rPr>
                <w:lang w:val="ro-RO"/>
              </w:rPr>
              <w:t>plății pentru dezechilibru zilnic</w:t>
            </w:r>
            <w:r>
              <w:rPr>
                <w:lang w:val="ro-RO"/>
              </w:rPr>
              <w:t xml:space="preserve">. </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lang w:val="ro-RO"/>
              </w:rPr>
              <w:t>2. Stabilirea obiectivelor</w:t>
            </w:r>
          </w:p>
        </w:tc>
      </w:tr>
      <w:tr w:rsidR="00647BBE" w:rsidRPr="00FC23C1" w:rsidTr="00003036">
        <w:trPr>
          <w:trHeight w:val="760"/>
        </w:trPr>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a) Expuneți obiectivele (care trebuie să fie legate direct de problemă și cauzele acesteia, formulate cuantificat, măsurabil, fixat în timp și realist)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ind w:firstLine="307"/>
              <w:jc w:val="both"/>
              <w:rPr>
                <w:color w:val="000000"/>
                <w:lang w:val="ro-RO"/>
              </w:rPr>
            </w:pPr>
            <w:r w:rsidRPr="00FC23C1">
              <w:rPr>
                <w:lang w:val="ro-RO"/>
              </w:rPr>
              <w:t xml:space="preserve">Prin promovarea proiectului </w:t>
            </w:r>
            <w:r w:rsidR="009D488C" w:rsidRPr="00D2379B">
              <w:rPr>
                <w:lang w:val="ro-RO"/>
              </w:rPr>
              <w:t>Metodologiei</w:t>
            </w:r>
            <w:r w:rsidR="003723CA">
              <w:rPr>
                <w:lang w:val="ro-RO"/>
              </w:rPr>
              <w:t xml:space="preserve"> </w:t>
            </w:r>
            <w:r w:rsidR="003723CA" w:rsidRPr="00C03671">
              <w:rPr>
                <w:lang w:val="ro-RO"/>
              </w:rPr>
              <w:t>de calculare a plăţii pentru dezechilibru zilnic</w:t>
            </w:r>
            <w:r w:rsidR="003723CA" w:rsidRPr="00FC23C1">
              <w:rPr>
                <w:lang w:val="ro-RO"/>
              </w:rPr>
              <w:t xml:space="preserve"> </w:t>
            </w:r>
            <w:r w:rsidRPr="00FC23C1">
              <w:rPr>
                <w:lang w:val="ro-RO"/>
              </w:rPr>
              <w:t xml:space="preserve">se urmărește realizarea următoarelor </w:t>
            </w:r>
            <w:r w:rsidRPr="00FC23C1">
              <w:rPr>
                <w:color w:val="000000"/>
                <w:lang w:val="ro-RO"/>
              </w:rPr>
              <w:t>obiective:</w:t>
            </w:r>
          </w:p>
          <w:p w:rsidR="00B74548" w:rsidRPr="00FC23C1" w:rsidRDefault="00940A05" w:rsidP="00437972">
            <w:pPr>
              <w:pStyle w:val="ListParagraph"/>
              <w:numPr>
                <w:ilvl w:val="0"/>
                <w:numId w:val="4"/>
              </w:numPr>
              <w:tabs>
                <w:tab w:val="left" w:pos="910"/>
              </w:tabs>
              <w:ind w:left="19" w:firstLine="572"/>
              <w:jc w:val="both"/>
              <w:rPr>
                <w:lang w:val="ro-RO" w:eastAsia="ro-RO"/>
              </w:rPr>
            </w:pPr>
            <w:r>
              <w:rPr>
                <w:lang w:val="ro-RO" w:eastAsia="ro-RO"/>
              </w:rPr>
              <w:t>e</w:t>
            </w:r>
            <w:r w:rsidR="00B74548" w:rsidRPr="00FC23C1">
              <w:rPr>
                <w:lang w:val="ro-RO" w:eastAsia="ro-RO"/>
              </w:rPr>
              <w:t xml:space="preserve">vitarea riscurilor pentru securitatea </w:t>
            </w:r>
            <w:r w:rsidR="009205B8" w:rsidRPr="00FC23C1">
              <w:rPr>
                <w:lang w:val="ro-RO" w:eastAsia="ro-RO"/>
              </w:rPr>
              <w:t>funcționării rețelelor și aprovizionarea cu gaze naturale a consumatorilor din Republicii Moldova;</w:t>
            </w:r>
          </w:p>
          <w:p w:rsidR="001F5DC0" w:rsidRPr="00FC23C1" w:rsidRDefault="00940A05" w:rsidP="00437972">
            <w:pPr>
              <w:pStyle w:val="ListParagraph"/>
              <w:numPr>
                <w:ilvl w:val="0"/>
                <w:numId w:val="4"/>
              </w:numPr>
              <w:tabs>
                <w:tab w:val="left" w:pos="910"/>
              </w:tabs>
              <w:ind w:left="19" w:firstLine="572"/>
              <w:jc w:val="both"/>
              <w:rPr>
                <w:lang w:val="ro-RO" w:eastAsia="ro-RO"/>
              </w:rPr>
            </w:pPr>
            <w:r>
              <w:rPr>
                <w:lang w:val="ro-RO" w:eastAsia="ro-RO"/>
              </w:rPr>
              <w:t>i</w:t>
            </w:r>
            <w:r w:rsidR="00B74548" w:rsidRPr="00FC23C1">
              <w:rPr>
                <w:lang w:val="ro-RO" w:eastAsia="ro-RO"/>
              </w:rPr>
              <w:t>mplementarea mecanismului de echilibrare prevăzut de Codul rețelelor de gaze naturale</w:t>
            </w:r>
            <w:r w:rsidR="001F5DC0" w:rsidRPr="00FC23C1">
              <w:rPr>
                <w:lang w:val="ro-RO" w:eastAsia="ro-RO"/>
              </w:rPr>
              <w:t xml:space="preserve"> care să permită echilibrarea efectivă a Zonei de echilibrare a RM</w:t>
            </w:r>
            <w:r w:rsidR="00B74548" w:rsidRPr="00FC23C1">
              <w:rPr>
                <w:lang w:val="ro-RO" w:eastAsia="ro-RO"/>
              </w:rPr>
              <w:t>;</w:t>
            </w:r>
            <w:r w:rsidR="001F5DC0" w:rsidRPr="00FC23C1">
              <w:rPr>
                <w:lang w:val="ro-RO" w:eastAsia="ro-RO"/>
              </w:rPr>
              <w:t xml:space="preserve"> </w:t>
            </w:r>
          </w:p>
          <w:p w:rsidR="00EE2427" w:rsidRPr="00FC23C1" w:rsidRDefault="00940A05" w:rsidP="00437972">
            <w:pPr>
              <w:pStyle w:val="ListParagraph"/>
              <w:numPr>
                <w:ilvl w:val="0"/>
                <w:numId w:val="4"/>
              </w:numPr>
              <w:tabs>
                <w:tab w:val="left" w:pos="910"/>
              </w:tabs>
              <w:ind w:left="19" w:firstLine="572"/>
              <w:jc w:val="both"/>
              <w:rPr>
                <w:lang w:val="ro-RO" w:eastAsia="ro-RO"/>
              </w:rPr>
            </w:pPr>
            <w:r>
              <w:rPr>
                <w:lang w:val="ro-RO" w:eastAsia="ro-RO"/>
              </w:rPr>
              <w:t>c</w:t>
            </w:r>
            <w:r w:rsidR="00EE2427" w:rsidRPr="00FC23C1">
              <w:rPr>
                <w:lang w:val="ro-RO" w:eastAsia="ro-RO"/>
              </w:rPr>
              <w:t>rearea premiselor pentru funcționarea pieței de gaze naturale;</w:t>
            </w:r>
          </w:p>
          <w:p w:rsidR="000D07B8" w:rsidRPr="00FC23C1" w:rsidRDefault="00940A05" w:rsidP="00437972">
            <w:pPr>
              <w:pStyle w:val="ListParagraph"/>
              <w:numPr>
                <w:ilvl w:val="0"/>
                <w:numId w:val="4"/>
              </w:numPr>
              <w:tabs>
                <w:tab w:val="left" w:pos="910"/>
              </w:tabs>
              <w:ind w:left="19" w:firstLine="572"/>
              <w:jc w:val="both"/>
              <w:rPr>
                <w:lang w:val="ro-RO" w:eastAsia="ro-RO"/>
              </w:rPr>
            </w:pPr>
            <w:r>
              <w:rPr>
                <w:lang w:val="ro-RO" w:eastAsia="ro-RO"/>
              </w:rPr>
              <w:t>a</w:t>
            </w:r>
            <w:r w:rsidR="000D07B8" w:rsidRPr="00FC23C1">
              <w:rPr>
                <w:lang w:val="ro-RO" w:eastAsia="ro-RO"/>
              </w:rPr>
              <w:t>pariția pieței de echilibrare;</w:t>
            </w:r>
          </w:p>
          <w:p w:rsidR="001F5DC0" w:rsidRDefault="00940A05" w:rsidP="00437972">
            <w:pPr>
              <w:pStyle w:val="ListParagraph"/>
              <w:numPr>
                <w:ilvl w:val="0"/>
                <w:numId w:val="4"/>
              </w:numPr>
              <w:tabs>
                <w:tab w:val="left" w:pos="910"/>
              </w:tabs>
              <w:ind w:left="19" w:firstLine="572"/>
              <w:jc w:val="both"/>
              <w:rPr>
                <w:lang w:val="ro-RO" w:eastAsia="ro-RO"/>
              </w:rPr>
            </w:pPr>
            <w:r>
              <w:rPr>
                <w:lang w:val="ro-RO" w:eastAsia="ro-RO"/>
              </w:rPr>
              <w:t>s</w:t>
            </w:r>
            <w:r w:rsidR="001F5DC0" w:rsidRPr="00FC23C1">
              <w:rPr>
                <w:lang w:val="ro-RO" w:eastAsia="ro-RO"/>
              </w:rPr>
              <w:t>porirea lichidității pe piața gazelor naturale;</w:t>
            </w:r>
          </w:p>
          <w:p w:rsidR="003723CA" w:rsidRPr="00FC23C1" w:rsidRDefault="00940A05" w:rsidP="00437972">
            <w:pPr>
              <w:pStyle w:val="ListParagraph"/>
              <w:numPr>
                <w:ilvl w:val="0"/>
                <w:numId w:val="4"/>
              </w:numPr>
              <w:tabs>
                <w:tab w:val="left" w:pos="910"/>
              </w:tabs>
              <w:ind w:left="19" w:firstLine="572"/>
              <w:jc w:val="both"/>
              <w:rPr>
                <w:lang w:val="ro-RO" w:eastAsia="ro-RO"/>
              </w:rPr>
            </w:pPr>
            <w:r>
              <w:rPr>
                <w:lang w:val="ro-RO"/>
              </w:rPr>
              <w:t>i</w:t>
            </w:r>
            <w:r w:rsidR="003723CA">
              <w:rPr>
                <w:lang w:val="ro-RO"/>
              </w:rPr>
              <w:t xml:space="preserve">mplementarea </w:t>
            </w:r>
            <w:r w:rsidR="003723CA">
              <w:t>calcului plății pentru dezechilibru zilnic, încât să ducă la posibilitatea taxării</w:t>
            </w:r>
            <w:r w:rsidR="003723CA" w:rsidRPr="00FC23C1">
              <w:rPr>
                <w:lang w:val="ro-RO"/>
              </w:rPr>
              <w:t xml:space="preserve"> utilizatori</w:t>
            </w:r>
            <w:r w:rsidR="003723CA">
              <w:rPr>
                <w:lang w:val="ro-RO"/>
              </w:rPr>
              <w:t>lor</w:t>
            </w:r>
            <w:r w:rsidR="003723CA" w:rsidRPr="00FC23C1">
              <w:rPr>
                <w:lang w:val="ro-RO"/>
              </w:rPr>
              <w:t xml:space="preserve"> de sistem pentru cauzarea dezechilibrelor în rețelele de transport al gazelor naturale.</w:t>
            </w:r>
          </w:p>
          <w:p w:rsidR="003B4023" w:rsidRPr="00FC23C1" w:rsidRDefault="00940A05" w:rsidP="00437972">
            <w:pPr>
              <w:pStyle w:val="ListParagraph"/>
              <w:numPr>
                <w:ilvl w:val="0"/>
                <w:numId w:val="4"/>
              </w:numPr>
              <w:tabs>
                <w:tab w:val="left" w:pos="910"/>
              </w:tabs>
              <w:ind w:left="19" w:firstLine="572"/>
              <w:jc w:val="both"/>
              <w:rPr>
                <w:lang w:val="ro-RO" w:eastAsia="ro-RO"/>
              </w:rPr>
            </w:pPr>
            <w:r>
              <w:rPr>
                <w:lang w:val="ro-RO"/>
              </w:rPr>
              <w:lastRenderedPageBreak/>
              <w:t>r</w:t>
            </w:r>
            <w:r w:rsidR="003B4023" w:rsidRPr="00FC23C1">
              <w:rPr>
                <w:lang w:val="ro-RO"/>
              </w:rPr>
              <w:t xml:space="preserve">educerea la minimum a necesității ca EE să întreprindă </w:t>
            </w:r>
            <w:r w:rsidR="00B93694" w:rsidRPr="00FC23C1">
              <w:rPr>
                <w:lang w:val="ro-RO"/>
              </w:rPr>
              <w:t>acțiunile</w:t>
            </w:r>
            <w:r w:rsidR="003B4023" w:rsidRPr="00FC23C1">
              <w:rPr>
                <w:lang w:val="ro-RO"/>
              </w:rPr>
              <w:t xml:space="preserve"> de echilibrare prin oferirea posibilității utilizatorilor de sistem să-și echilibreze propriile portofolii de echilibrare. </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lang w:val="ro-RO"/>
              </w:rPr>
              <w:lastRenderedPageBreak/>
              <w:t>3. Identificarea opţiunilor</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a) Expuneți succint opțiunea „a nu face nimic”, care presupune lipsa de intervenție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852BDF" w:rsidRPr="00FC23C1" w:rsidRDefault="00647BBE" w:rsidP="00D1740D">
            <w:pPr>
              <w:ind w:firstLine="300"/>
              <w:jc w:val="both"/>
              <w:rPr>
                <w:lang w:val="ro-RO"/>
              </w:rPr>
            </w:pPr>
            <w:r w:rsidRPr="00FC23C1">
              <w:rPr>
                <w:lang w:val="ro-RO"/>
              </w:rPr>
              <w:t xml:space="preserve">În cazul în care, nu va fi întreprinsă nici o </w:t>
            </w:r>
            <w:r w:rsidR="00B93694" w:rsidRPr="00FC23C1">
              <w:rPr>
                <w:lang w:val="ro-RO"/>
              </w:rPr>
              <w:t>acțiune</w:t>
            </w:r>
            <w:r w:rsidRPr="00FC23C1">
              <w:rPr>
                <w:lang w:val="ro-RO"/>
              </w:rPr>
              <w:t xml:space="preserve"> în sensul </w:t>
            </w:r>
            <w:r w:rsidR="00B93694">
              <w:rPr>
                <w:lang w:val="ro-RO"/>
              </w:rPr>
              <w:t>intervenirii</w:t>
            </w:r>
            <w:r w:rsidR="003723CA">
              <w:rPr>
                <w:lang w:val="ro-RO"/>
              </w:rPr>
              <w:t xml:space="preserve"> în </w:t>
            </w:r>
            <w:r w:rsidR="003B4023" w:rsidRPr="00FC23C1">
              <w:rPr>
                <w:lang w:val="ro-RO"/>
              </w:rPr>
              <w:t>e</w:t>
            </w:r>
            <w:r w:rsidR="003723CA">
              <w:rPr>
                <w:lang w:val="ro-RO"/>
              </w:rPr>
              <w:t xml:space="preserve">laborarea şi aprobarea </w:t>
            </w:r>
            <w:r w:rsidR="009D488C" w:rsidRPr="00D2379B">
              <w:rPr>
                <w:lang w:val="ro-RO"/>
              </w:rPr>
              <w:t>Metodologiei</w:t>
            </w:r>
            <w:r w:rsidR="00070D63" w:rsidRPr="00D2379B">
              <w:t>:</w:t>
            </w:r>
            <w:r w:rsidR="00E20A4F">
              <w:rPr>
                <w:lang w:val="ro-RO"/>
              </w:rPr>
              <w:t xml:space="preserve"> </w:t>
            </w:r>
          </w:p>
          <w:p w:rsidR="00504C69" w:rsidRPr="00FC23C1" w:rsidRDefault="00940A05" w:rsidP="006500EF">
            <w:pPr>
              <w:pStyle w:val="ListParagraph"/>
              <w:numPr>
                <w:ilvl w:val="0"/>
                <w:numId w:val="3"/>
              </w:numPr>
              <w:ind w:left="23" w:firstLine="426"/>
              <w:jc w:val="both"/>
              <w:rPr>
                <w:lang w:val="ro-RO" w:eastAsia="ru-MD"/>
              </w:rPr>
            </w:pPr>
            <w:r>
              <w:rPr>
                <w:lang w:val="ro-RO" w:eastAsia="ru-MD"/>
              </w:rPr>
              <w:t>d</w:t>
            </w:r>
            <w:r w:rsidR="00504C69" w:rsidRPr="00FC23C1">
              <w:rPr>
                <w:lang w:val="ro-RO" w:eastAsia="ru-MD"/>
              </w:rPr>
              <w:t>ezechilibrele create de utilizatorii de sistem pot afecta regimul de funcționare normal al rețelei de transport a</w:t>
            </w:r>
            <w:r w:rsidR="00E20A4F">
              <w:rPr>
                <w:lang w:val="ro-RO" w:eastAsia="ru-MD"/>
              </w:rPr>
              <w:t>l</w:t>
            </w:r>
            <w:r w:rsidR="00504C69" w:rsidRPr="00FC23C1">
              <w:rPr>
                <w:lang w:val="ro-RO" w:eastAsia="ru-MD"/>
              </w:rPr>
              <w:t xml:space="preserve"> gazelor naturale și pune în pericol securitatea aprovizionării cu gaze naturale a Republicii Moldova. </w:t>
            </w:r>
          </w:p>
          <w:p w:rsidR="00852BDF" w:rsidRPr="00FC23C1" w:rsidRDefault="00940A05" w:rsidP="006500EF">
            <w:pPr>
              <w:pStyle w:val="ListParagraph"/>
              <w:numPr>
                <w:ilvl w:val="0"/>
                <w:numId w:val="3"/>
              </w:numPr>
              <w:ind w:left="23" w:firstLine="426"/>
              <w:jc w:val="both"/>
              <w:rPr>
                <w:lang w:val="ro-RO" w:eastAsia="ro-RO"/>
              </w:rPr>
            </w:pPr>
            <w:r>
              <w:rPr>
                <w:lang w:val="ro-RO" w:eastAsia="ru-MD"/>
              </w:rPr>
              <w:t>n</w:t>
            </w:r>
            <w:r w:rsidR="00852BDF" w:rsidRPr="00FC23C1">
              <w:rPr>
                <w:lang w:val="ro-RO" w:eastAsia="ru-MD"/>
              </w:rPr>
              <w:t xml:space="preserve">u va fi prevăzută </w:t>
            </w:r>
            <w:r w:rsidR="009D488C">
              <w:rPr>
                <w:lang w:val="ro-RO" w:eastAsia="ro-RO"/>
              </w:rPr>
              <w:t>Metodologia</w:t>
            </w:r>
            <w:r w:rsidR="00852BDF" w:rsidRPr="00FC23C1">
              <w:rPr>
                <w:lang w:val="ro-RO" w:eastAsia="ro-RO"/>
              </w:rPr>
              <w:t xml:space="preserve"> de calcul al dezechilibrelor cantitative provocate de participanții la piață gazelor naturale </w:t>
            </w:r>
          </w:p>
          <w:p w:rsidR="00852BDF" w:rsidRPr="00FC23C1" w:rsidRDefault="00940A05" w:rsidP="006500EF">
            <w:pPr>
              <w:pStyle w:val="ListParagraph"/>
              <w:numPr>
                <w:ilvl w:val="0"/>
                <w:numId w:val="3"/>
              </w:numPr>
              <w:ind w:left="23" w:firstLine="426"/>
              <w:jc w:val="both"/>
              <w:rPr>
                <w:lang w:val="ro-RO" w:eastAsia="ro-RO"/>
              </w:rPr>
            </w:pPr>
            <w:r>
              <w:rPr>
                <w:lang w:val="ro-RO" w:eastAsia="ru-MD"/>
              </w:rPr>
              <w:t>n</w:t>
            </w:r>
            <w:r w:rsidR="00852BDF" w:rsidRPr="00FC23C1">
              <w:rPr>
                <w:lang w:val="ro-RO" w:eastAsia="ru-MD"/>
              </w:rPr>
              <w:t xml:space="preserve">u va fi prevăzută </w:t>
            </w:r>
            <w:r w:rsidR="00852BDF" w:rsidRPr="00FC23C1">
              <w:rPr>
                <w:lang w:val="ro-RO" w:eastAsia="ro-RO"/>
              </w:rPr>
              <w:t>modalitatea de realizare a decontărilor financiare pentru dezechilibrele provocate de</w:t>
            </w:r>
            <w:r w:rsidR="00852BDF" w:rsidRPr="00FC23C1">
              <w:rPr>
                <w:lang w:val="ro-RO"/>
              </w:rPr>
              <w:t xml:space="preserve"> utilizatorii de sistem; </w:t>
            </w:r>
          </w:p>
          <w:p w:rsidR="00D30AD1" w:rsidRPr="00FC23C1" w:rsidRDefault="00852BDF" w:rsidP="006500EF">
            <w:pPr>
              <w:pStyle w:val="ListParagraph"/>
              <w:numPr>
                <w:ilvl w:val="0"/>
                <w:numId w:val="3"/>
              </w:numPr>
              <w:ind w:left="23" w:firstLine="426"/>
              <w:jc w:val="both"/>
              <w:rPr>
                <w:lang w:val="ro-RO" w:eastAsia="ru-MD"/>
              </w:rPr>
            </w:pPr>
            <w:r w:rsidRPr="00FC23C1">
              <w:rPr>
                <w:lang w:val="ro-RO" w:eastAsia="ru-MD"/>
              </w:rPr>
              <w:t xml:space="preserve">nu va fi asigurat cadrul legal necesar implementări mecanismului de echilibrare stabilit de Codul rețelelor de gaze naturale, </w:t>
            </w:r>
            <w:r w:rsidR="00940A05">
              <w:rPr>
                <w:lang w:val="ro-RO" w:eastAsia="ru-MD"/>
              </w:rPr>
              <w:t xml:space="preserve">iar </w:t>
            </w:r>
            <w:r w:rsidRPr="00FC23C1">
              <w:rPr>
                <w:lang w:val="ro-RO" w:eastAsia="ru-MD"/>
              </w:rPr>
              <w:t>Republica Moldova va avea un indicator scăzut la implementarea aquis-ului comunitar, fapt ce va fi notat de Secretariatul Comunității Energetice în Rapoartele sale de monitorizare a pieței angro a gazelor naturale;</w:t>
            </w:r>
          </w:p>
          <w:p w:rsidR="00D30AD1" w:rsidRPr="00FC23C1" w:rsidRDefault="00940A05" w:rsidP="00940A05">
            <w:pPr>
              <w:pStyle w:val="ListParagraph"/>
              <w:numPr>
                <w:ilvl w:val="0"/>
                <w:numId w:val="3"/>
              </w:numPr>
              <w:ind w:left="23" w:firstLine="426"/>
              <w:jc w:val="both"/>
              <w:rPr>
                <w:lang w:val="ro-RO" w:eastAsia="ru-MD"/>
              </w:rPr>
            </w:pPr>
            <w:r>
              <w:rPr>
                <w:lang w:val="ro-RO" w:eastAsia="ru-MD"/>
              </w:rPr>
              <w:t>v</w:t>
            </w:r>
            <w:r w:rsidR="00D30AD1" w:rsidRPr="00FC23C1">
              <w:rPr>
                <w:lang w:val="ro-RO" w:eastAsia="ru-MD"/>
              </w:rPr>
              <w:t xml:space="preserve">a exista </w:t>
            </w:r>
            <w:r w:rsidR="00852BDF" w:rsidRPr="00FC23C1">
              <w:rPr>
                <w:lang w:val="ro-RO"/>
              </w:rPr>
              <w:t xml:space="preserve">riscul de nerambursare </w:t>
            </w:r>
            <w:r w:rsidR="00D30AD1" w:rsidRPr="00FC23C1">
              <w:rPr>
                <w:lang w:val="ro-RO"/>
              </w:rPr>
              <w:t xml:space="preserve">de către PRE a cheltuielilor </w:t>
            </w:r>
            <w:r w:rsidR="00852BDF" w:rsidRPr="00FC23C1">
              <w:rPr>
                <w:lang w:val="ro-RO"/>
              </w:rPr>
              <w:t>E</w:t>
            </w:r>
            <w:r>
              <w:rPr>
                <w:lang w:val="ro-RO"/>
              </w:rPr>
              <w:t>E</w:t>
            </w:r>
            <w:r w:rsidR="00852BDF" w:rsidRPr="00FC23C1">
              <w:rPr>
                <w:lang w:val="ro-RO"/>
              </w:rPr>
              <w:t xml:space="preserve"> </w:t>
            </w:r>
            <w:r w:rsidR="00070D63">
              <w:rPr>
                <w:lang w:val="ro-RO"/>
              </w:rPr>
              <w:t>pentru acoperirea dezechilibrelor</w:t>
            </w:r>
            <w:r w:rsidR="00D30AD1" w:rsidRPr="00FC23C1">
              <w:rPr>
                <w:lang w:val="ro-RO"/>
              </w:rPr>
              <w:t xml:space="preserve"> zilnice, plăților pentru acțiuni de echilibrare și a altor cheltuieli legate de activitățile sale de echilibrare.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b) Expuneți principalele prevederi ale proiectului, cu impact, explicând cum acestea țintesc cauzele problemei, cu indicarea novațiilor și întregului spectru de soluții/drepturi/obligații ce se doresc să fie aprobate</w:t>
            </w:r>
          </w:p>
        </w:tc>
      </w:tr>
      <w:tr w:rsidR="00893223"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940A05" w:rsidRDefault="00940A05" w:rsidP="005A2AD7">
            <w:pPr>
              <w:tabs>
                <w:tab w:val="left" w:pos="284"/>
              </w:tabs>
              <w:spacing w:line="276" w:lineRule="auto"/>
              <w:ind w:firstLine="303"/>
              <w:jc w:val="both"/>
              <w:rPr>
                <w:bCs/>
                <w:lang w:val="ro-RO"/>
              </w:rPr>
            </w:pPr>
            <w:r>
              <w:rPr>
                <w:lang w:val="ro-RO"/>
              </w:rPr>
              <w:t>Proiectul</w:t>
            </w:r>
            <w:r w:rsidR="005957B6">
              <w:rPr>
                <w:lang w:val="ro-RO"/>
              </w:rPr>
              <w:t xml:space="preserve"> </w:t>
            </w:r>
            <w:r w:rsidR="00893223" w:rsidRPr="00D2379B">
              <w:rPr>
                <w:lang w:val="ro-RO"/>
              </w:rPr>
              <w:t>Metodo</w:t>
            </w:r>
            <w:r>
              <w:rPr>
                <w:lang w:val="ro-RO"/>
              </w:rPr>
              <w:t>logiei</w:t>
            </w:r>
            <w:r w:rsidRPr="0080621B">
              <w:rPr>
                <w:bCs/>
                <w:lang w:val="ro-RO"/>
              </w:rPr>
              <w:t xml:space="preserve"> reglementează modalitatea de calculare de către E</w:t>
            </w:r>
            <w:r>
              <w:rPr>
                <w:bCs/>
                <w:lang w:val="ro-RO"/>
              </w:rPr>
              <w:t>E</w:t>
            </w:r>
            <w:r w:rsidRPr="0080621B">
              <w:rPr>
                <w:bCs/>
                <w:lang w:val="ro-RO"/>
              </w:rPr>
              <w:t xml:space="preserve"> a plăților pentru dezechilibru zilnic care vor fi percepute de la PRE sau achitate în folosul PRE, în cazul dezechilibrelor por</w:t>
            </w:r>
            <w:r>
              <w:rPr>
                <w:bCs/>
                <w:lang w:val="ro-RO"/>
              </w:rPr>
              <w:t xml:space="preserve">tofoliilor lor de echilibrare. </w:t>
            </w:r>
          </w:p>
          <w:p w:rsidR="003E16C4" w:rsidRDefault="00A20599" w:rsidP="005A2AD7">
            <w:pPr>
              <w:tabs>
                <w:tab w:val="left" w:pos="284"/>
              </w:tabs>
              <w:spacing w:line="276" w:lineRule="auto"/>
              <w:ind w:firstLine="303"/>
              <w:jc w:val="both"/>
              <w:rPr>
                <w:rFonts w:eastAsiaTheme="minorHAnsi"/>
                <w:lang w:val="ro-RO"/>
              </w:rPr>
            </w:pPr>
            <w:r>
              <w:rPr>
                <w:rFonts w:eastAsiaTheme="minorHAnsi"/>
                <w:lang w:val="ro-RO"/>
              </w:rPr>
              <w:t>P</w:t>
            </w:r>
            <w:r w:rsidR="003E16C4">
              <w:rPr>
                <w:rFonts w:eastAsiaTheme="minorHAnsi"/>
                <w:lang w:val="ro-RO"/>
              </w:rPr>
              <w:t xml:space="preserve">roiectul </w:t>
            </w:r>
            <w:r w:rsidR="009D488C" w:rsidRPr="00D2379B">
              <w:rPr>
                <w:rFonts w:eastAsiaTheme="minorHAnsi"/>
                <w:lang w:val="ro-RO"/>
              </w:rPr>
              <w:t>Metodologi</w:t>
            </w:r>
            <w:r w:rsidR="003E16C4">
              <w:rPr>
                <w:rFonts w:eastAsiaTheme="minorHAnsi"/>
                <w:lang w:val="ro-RO"/>
              </w:rPr>
              <w:t xml:space="preserve">ei prevede metoda de alocare a volumelor către PRE la punctele de intrare şi ieşire în/din reţeaua de </w:t>
            </w:r>
            <w:r w:rsidR="005F6951">
              <w:rPr>
                <w:rFonts w:eastAsiaTheme="minorHAnsi"/>
                <w:lang w:val="ro-RO"/>
              </w:rPr>
              <w:t>distribuție a gaz</w:t>
            </w:r>
            <w:r w:rsidR="003E16C4">
              <w:rPr>
                <w:rFonts w:eastAsiaTheme="minorHAnsi"/>
                <w:lang w:val="ro-RO"/>
              </w:rPr>
              <w:t>elor naturale</w:t>
            </w:r>
            <w:r w:rsidR="005F6951">
              <w:rPr>
                <w:rFonts w:eastAsiaTheme="minorHAnsi"/>
                <w:lang w:val="ro-RO"/>
              </w:rPr>
              <w:t xml:space="preserve">, prevede procesul de alocare a </w:t>
            </w:r>
            <w:r>
              <w:rPr>
                <w:rFonts w:eastAsiaTheme="minorHAnsi"/>
                <w:lang w:val="ro-RO"/>
              </w:rPr>
              <w:t>cantităților</w:t>
            </w:r>
            <w:r w:rsidR="005F6951">
              <w:rPr>
                <w:rFonts w:eastAsiaTheme="minorHAnsi"/>
                <w:lang w:val="ro-RO"/>
              </w:rPr>
              <w:t xml:space="preserve"> de gaze naturale către PRE</w:t>
            </w:r>
            <w:r>
              <w:rPr>
                <w:rFonts w:eastAsiaTheme="minorHAnsi"/>
                <w:lang w:val="ro-RO"/>
              </w:rPr>
              <w:t>.</w:t>
            </w:r>
            <w:r w:rsidR="005F6951">
              <w:rPr>
                <w:rFonts w:eastAsiaTheme="minorHAnsi"/>
                <w:lang w:val="ro-RO"/>
              </w:rPr>
              <w:t xml:space="preserve"> </w:t>
            </w:r>
            <w:r w:rsidR="005957B6">
              <w:rPr>
                <w:rFonts w:eastAsiaTheme="minorHAnsi"/>
                <w:lang w:val="ro-RO"/>
              </w:rPr>
              <w:t xml:space="preserve"> </w:t>
            </w:r>
          </w:p>
          <w:p w:rsidR="005245EB" w:rsidRDefault="00A20599" w:rsidP="005A2AD7">
            <w:pPr>
              <w:tabs>
                <w:tab w:val="left" w:pos="284"/>
              </w:tabs>
              <w:spacing w:line="276" w:lineRule="auto"/>
              <w:ind w:firstLine="303"/>
              <w:jc w:val="both"/>
              <w:rPr>
                <w:lang w:val="ro-RO"/>
              </w:rPr>
            </w:pPr>
            <w:r>
              <w:rPr>
                <w:rFonts w:eastAsiaTheme="minorHAnsi"/>
                <w:lang w:val="ro-RO"/>
              </w:rPr>
              <w:t>Deasemenea</w:t>
            </w:r>
            <w:r w:rsidR="005A2AD7">
              <w:rPr>
                <w:rFonts w:eastAsiaTheme="minorHAnsi"/>
                <w:lang w:val="ro-RO"/>
              </w:rPr>
              <w:t>,</w:t>
            </w:r>
            <w:r>
              <w:rPr>
                <w:rFonts w:eastAsiaTheme="minorHAnsi"/>
                <w:lang w:val="ro-RO"/>
              </w:rPr>
              <w:t xml:space="preserve"> proiectul Metodologiei prevede calculul cantităților de dezechilibru zilnic</w:t>
            </w:r>
            <w:r w:rsidR="005245EB">
              <w:rPr>
                <w:rFonts w:eastAsiaTheme="minorHAnsi"/>
                <w:lang w:val="ro-RO"/>
              </w:rPr>
              <w:t xml:space="preserve"> a PRE</w:t>
            </w:r>
            <w:r>
              <w:rPr>
                <w:rFonts w:eastAsiaTheme="minorHAnsi"/>
                <w:lang w:val="ro-RO"/>
              </w:rPr>
              <w:t xml:space="preserve"> pe care EE le calculează </w:t>
            </w:r>
            <w:r w:rsidR="005245EB" w:rsidRPr="0080621B">
              <w:rPr>
                <w:lang w:val="ro-RO"/>
              </w:rPr>
              <w:t>pentru fiecare zi gazieră din luna precedentă</w:t>
            </w:r>
            <w:r w:rsidR="005245EB">
              <w:rPr>
                <w:lang w:val="ro-RO"/>
              </w:rPr>
              <w:t>.</w:t>
            </w:r>
          </w:p>
          <w:p w:rsidR="00112F86" w:rsidRDefault="005245EB" w:rsidP="005A2AD7">
            <w:pPr>
              <w:tabs>
                <w:tab w:val="left" w:pos="284"/>
              </w:tabs>
              <w:spacing w:line="276" w:lineRule="auto"/>
              <w:ind w:firstLine="303"/>
              <w:jc w:val="both"/>
              <w:rPr>
                <w:rFonts w:eastAsiaTheme="minorHAnsi"/>
                <w:lang w:val="ro-RO"/>
              </w:rPr>
            </w:pPr>
            <w:r>
              <w:rPr>
                <w:rFonts w:eastAsiaTheme="minorHAnsi"/>
                <w:lang w:val="ro-RO"/>
              </w:rPr>
              <w:t>În proiect</w:t>
            </w:r>
            <w:r w:rsidR="00B3593D">
              <w:rPr>
                <w:rFonts w:eastAsiaTheme="minorHAnsi"/>
                <w:lang w:val="ro-RO"/>
              </w:rPr>
              <w:t>ul Metodologiei</w:t>
            </w:r>
            <w:r>
              <w:rPr>
                <w:rFonts w:eastAsiaTheme="minorHAnsi"/>
                <w:lang w:val="ro-RO"/>
              </w:rPr>
              <w:t xml:space="preserve"> sunt prevăzute formulele de calculare a cantităților preliminare de dezechilibru zilnic, </w:t>
            </w:r>
            <w:r w:rsidR="00B3593D">
              <w:rPr>
                <w:rFonts w:eastAsiaTheme="minorHAnsi"/>
                <w:lang w:val="ro-RO"/>
              </w:rPr>
              <w:t>de calculare a pl</w:t>
            </w:r>
            <w:r w:rsidR="00112F86">
              <w:rPr>
                <w:rFonts w:eastAsiaTheme="minorHAnsi"/>
                <w:lang w:val="ro-RO"/>
              </w:rPr>
              <w:t>ății pentru dezechilibru zilnic.</w:t>
            </w:r>
          </w:p>
          <w:p w:rsidR="00112F86" w:rsidRPr="00112F86" w:rsidRDefault="00112F86" w:rsidP="005A2AD7">
            <w:pPr>
              <w:tabs>
                <w:tab w:val="left" w:pos="284"/>
              </w:tabs>
              <w:spacing w:line="276" w:lineRule="auto"/>
              <w:ind w:firstLine="303"/>
              <w:jc w:val="both"/>
              <w:rPr>
                <w:rFonts w:eastAsiaTheme="minorHAnsi"/>
                <w:lang w:val="ro-RO"/>
              </w:rPr>
            </w:pPr>
            <w:r w:rsidRPr="002F25E9">
              <w:rPr>
                <w:lang w:val="ro-RO"/>
              </w:rPr>
              <w:t xml:space="preserve">PRE au obligația de a plăti o plată pentru dezechilibrul zilnic pentru zilele </w:t>
            </w:r>
            <w:proofErr w:type="spellStart"/>
            <w:r w:rsidRPr="002F25E9">
              <w:rPr>
                <w:lang w:val="ro-RO"/>
              </w:rPr>
              <w:t>gaziere</w:t>
            </w:r>
            <w:proofErr w:type="spellEnd"/>
            <w:r w:rsidRPr="002F25E9">
              <w:rPr>
                <w:lang w:val="ro-RO"/>
              </w:rPr>
              <w:t xml:space="preserve"> în care au</w:t>
            </w:r>
            <w:r>
              <w:rPr>
                <w:lang w:val="ro-RO"/>
              </w:rPr>
              <w:t xml:space="preserve"> înregistrat</w:t>
            </w:r>
            <w:r w:rsidRPr="002F25E9">
              <w:rPr>
                <w:lang w:val="ro-RO"/>
              </w:rPr>
              <w:t xml:space="preserve"> un dezechilibru zilnic negativ și au dreptul de a primi o plată pentru dezechilibrul zilnic pentru zilele </w:t>
            </w:r>
            <w:proofErr w:type="spellStart"/>
            <w:r w:rsidRPr="002F25E9">
              <w:rPr>
                <w:lang w:val="ro-RO"/>
              </w:rPr>
              <w:t>gaziere</w:t>
            </w:r>
            <w:proofErr w:type="spellEnd"/>
            <w:r w:rsidRPr="002F25E9">
              <w:rPr>
                <w:lang w:val="ro-RO"/>
              </w:rPr>
              <w:t xml:space="preserve"> în care au </w:t>
            </w:r>
            <w:r>
              <w:rPr>
                <w:lang w:val="ro-RO"/>
              </w:rPr>
              <w:t xml:space="preserve">înregistrat </w:t>
            </w:r>
            <w:r w:rsidRPr="002F25E9">
              <w:rPr>
                <w:lang w:val="ro-RO"/>
              </w:rPr>
              <w:t xml:space="preserve">un echilibru zilnic pozitiv.  </w:t>
            </w:r>
          </w:p>
          <w:p w:rsidR="00885D20" w:rsidRPr="00885D20" w:rsidRDefault="00885D20" w:rsidP="005A2AD7">
            <w:pPr>
              <w:spacing w:line="276" w:lineRule="auto"/>
              <w:ind w:firstLine="303"/>
              <w:jc w:val="both"/>
              <w:rPr>
                <w:i/>
                <w:lang w:val="ro-RO"/>
              </w:rPr>
            </w:pPr>
            <w:r w:rsidRPr="00D2379B">
              <w:rPr>
                <w:rFonts w:eastAsiaTheme="minorHAnsi"/>
                <w:lang w:val="ro-RO"/>
              </w:rPr>
              <w:t>Metodologia</w:t>
            </w:r>
            <w:r w:rsidRPr="00885D20">
              <w:rPr>
                <w:rFonts w:eastAsiaTheme="minorHAnsi"/>
                <w:lang w:val="ro-RO"/>
              </w:rPr>
              <w:t xml:space="preserve"> se aplică tuturor PRE, după ce au semnat un contract de echilibrare cu EE.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c) Expuneți opțiunile alternative analizate sau explicați motivul de ce acestea nu au fost luate în considerare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7C47D4" w:rsidRDefault="007C47D4" w:rsidP="007C47D4">
            <w:pPr>
              <w:ind w:firstLine="307"/>
              <w:jc w:val="both"/>
              <w:rPr>
                <w:lang w:val="ro-RO"/>
              </w:rPr>
            </w:pPr>
            <w:r w:rsidRPr="00AC1523">
              <w:rPr>
                <w:lang w:val="ro-RO"/>
              </w:rPr>
              <w:t>Inițial</w:t>
            </w:r>
            <w:r w:rsidR="005A2AD7">
              <w:rPr>
                <w:lang w:val="ro-RO"/>
              </w:rPr>
              <w:t>,</w:t>
            </w:r>
            <w:r w:rsidRPr="00AC1523">
              <w:rPr>
                <w:lang w:val="ro-RO"/>
              </w:rPr>
              <w:t xml:space="preserve"> se propunea ca </w:t>
            </w:r>
            <w:r w:rsidRPr="00D2379B">
              <w:rPr>
                <w:lang w:val="ro-RO"/>
              </w:rPr>
              <w:t>Metodologia</w:t>
            </w:r>
            <w:r w:rsidRPr="00AC1523">
              <w:rPr>
                <w:lang w:val="ro-RO"/>
              </w:rPr>
              <w:t xml:space="preserve"> să fie elaborată ca Anexă a Regulilor pieţei. </w:t>
            </w:r>
          </w:p>
          <w:p w:rsidR="007C47D4" w:rsidRPr="00AC1523" w:rsidRDefault="007C47D4" w:rsidP="007C47D4">
            <w:pPr>
              <w:ind w:firstLine="307"/>
              <w:jc w:val="both"/>
              <w:rPr>
                <w:lang w:val="ro-RO"/>
              </w:rPr>
            </w:pPr>
            <w:r w:rsidRPr="00AC1523">
              <w:rPr>
                <w:lang w:val="ro-RO"/>
              </w:rPr>
              <w:t xml:space="preserve">Alternativa constă în aprobarea </w:t>
            </w:r>
            <w:r>
              <w:rPr>
                <w:lang w:val="ro-RO"/>
              </w:rPr>
              <w:t>unor acte normative separate.</w:t>
            </w:r>
          </w:p>
          <w:p w:rsidR="00647BBE" w:rsidRPr="00FC23C1" w:rsidRDefault="007C47D4" w:rsidP="007C47D4">
            <w:pPr>
              <w:ind w:firstLine="307"/>
              <w:jc w:val="both"/>
              <w:rPr>
                <w:lang w:val="ro-RO"/>
              </w:rPr>
            </w:pPr>
            <w:r w:rsidRPr="00AC1523">
              <w:rPr>
                <w:lang w:val="ro-RO"/>
              </w:rPr>
              <w:t>În acest sens ANRE a înaintat propuneri la proiectul de modificare a Legii cu privire la gazele naturale nr. 108/2016 promovat de</w:t>
            </w:r>
            <w:r>
              <w:rPr>
                <w:lang w:val="ro-RO"/>
              </w:rPr>
              <w:t xml:space="preserve"> Ministerul Infrastructurii și D</w:t>
            </w:r>
            <w:r w:rsidRPr="00AC1523">
              <w:rPr>
                <w:lang w:val="ro-RO"/>
              </w:rPr>
              <w:t>ezvoltării</w:t>
            </w:r>
            <w:r>
              <w:rPr>
                <w:lang w:val="ro-RO"/>
              </w:rPr>
              <w:t xml:space="preserve"> R</w:t>
            </w:r>
            <w:r w:rsidRPr="00AC1523">
              <w:rPr>
                <w:lang w:val="ro-RO"/>
              </w:rPr>
              <w:t>egionale.</w:t>
            </w:r>
            <w:r w:rsidRPr="00FC23C1">
              <w:rPr>
                <w:lang w:val="ro-RO"/>
              </w:rPr>
              <w:t xml:space="preserve"> </w:t>
            </w:r>
            <w:r>
              <w:rPr>
                <w:lang w:val="ro-RO"/>
              </w:rPr>
              <w:t xml:space="preserve">Ulterior </w:t>
            </w:r>
            <w:r>
              <w:rPr>
                <w:lang w:val="ro-RO"/>
              </w:rPr>
              <w:lastRenderedPageBreak/>
              <w:t>propunerile înaintate au fost acceptate şi temeiul juridic privind aprobarea Metodologiei a fost inclusă în Legea 108/2016 cu privire la gazele naturale.</w:t>
            </w:r>
            <w:r w:rsidR="00D1740D" w:rsidRPr="00FC23C1">
              <w:rPr>
                <w:lang w:val="ro-RO"/>
              </w:rPr>
              <w:t xml:space="preserve"> </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lang w:val="ro-RO"/>
              </w:rPr>
              <w:lastRenderedPageBreak/>
              <w:t>4. Analiza impacturilor opțiunilor</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a) Expuneți efectele negative şi pozitive ale stării actuale și evoluția acestora în viitor, care vor sta la baza calculării impacturilor opțiunii recomandate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D1740D" w:rsidRPr="00FC23C1" w:rsidRDefault="00D1740D" w:rsidP="00885D20">
            <w:pPr>
              <w:widowControl w:val="0"/>
              <w:tabs>
                <w:tab w:val="left" w:pos="0"/>
                <w:tab w:val="left" w:pos="51"/>
              </w:tabs>
              <w:suppressAutoHyphens/>
              <w:ind w:firstLine="307"/>
              <w:jc w:val="both"/>
              <w:rPr>
                <w:b/>
                <w:lang w:val="ro-RO"/>
              </w:rPr>
            </w:pPr>
            <w:r w:rsidRPr="00FC23C1">
              <w:rPr>
                <w:b/>
                <w:lang w:val="ro-RO"/>
              </w:rPr>
              <w:t>Alternativa I:A nu face nimic.</w:t>
            </w:r>
          </w:p>
          <w:p w:rsidR="00D1740D" w:rsidRPr="00FC23C1" w:rsidRDefault="00504C69" w:rsidP="00885D20">
            <w:pPr>
              <w:ind w:firstLine="307"/>
              <w:jc w:val="both"/>
              <w:rPr>
                <w:lang w:val="ro-RO"/>
              </w:rPr>
            </w:pPr>
            <w:r w:rsidRPr="00FC23C1">
              <w:rPr>
                <w:lang w:val="ro-RO"/>
              </w:rPr>
              <w:t>Î</w:t>
            </w:r>
            <w:r w:rsidR="00D1740D" w:rsidRPr="00FC23C1">
              <w:rPr>
                <w:lang w:val="ro-RO"/>
              </w:rPr>
              <w:t xml:space="preserve">n corespundere cu exigențele </w:t>
            </w:r>
            <w:r w:rsidR="00D1740D" w:rsidRPr="00D2379B">
              <w:rPr>
                <w:lang w:val="ro-RO"/>
              </w:rPr>
              <w:t>Metodologiei</w:t>
            </w:r>
            <w:r w:rsidR="00D1740D" w:rsidRPr="00FC23C1">
              <w:rPr>
                <w:lang w:val="ro-RO"/>
              </w:rPr>
              <w:t xml:space="preserve"> de analiză a impactului în procesul de fundamentare a proiectelor de acte normative, aprobată prin Hotărârea Guvernului nr. 23 din 18.01.2019 (Metodologia nr.23/2019), </w:t>
            </w:r>
            <w:r w:rsidRPr="00FC23C1">
              <w:rPr>
                <w:lang w:val="ro-RO"/>
              </w:rPr>
              <w:t xml:space="preserve">opțiunea de a nu face nimic </w:t>
            </w:r>
            <w:r w:rsidR="00D1740D" w:rsidRPr="00FC23C1">
              <w:rPr>
                <w:lang w:val="ro-RO"/>
              </w:rPr>
              <w:t xml:space="preserve">a fost examinată sub </w:t>
            </w:r>
            <w:r w:rsidRPr="00FC23C1">
              <w:rPr>
                <w:lang w:val="ro-RO"/>
              </w:rPr>
              <w:t>următoarele aspecte:</w:t>
            </w:r>
          </w:p>
          <w:p w:rsidR="00D1740D" w:rsidRPr="00FC23C1" w:rsidRDefault="00D1740D" w:rsidP="00885D20">
            <w:pPr>
              <w:widowControl w:val="0"/>
              <w:tabs>
                <w:tab w:val="left" w:pos="0"/>
                <w:tab w:val="left" w:pos="51"/>
              </w:tabs>
              <w:suppressAutoHyphens/>
              <w:ind w:firstLine="307"/>
              <w:jc w:val="both"/>
              <w:rPr>
                <w:b/>
                <w:lang w:val="ro-RO"/>
              </w:rPr>
            </w:pPr>
            <w:r w:rsidRPr="00FC23C1">
              <w:rPr>
                <w:b/>
                <w:lang w:val="ro-RO"/>
              </w:rPr>
              <w:t>Efecte pozitive:</w:t>
            </w:r>
          </w:p>
          <w:p w:rsidR="00D1740D" w:rsidRPr="00FC23C1" w:rsidRDefault="00D1740D" w:rsidP="00885D20">
            <w:pPr>
              <w:widowControl w:val="0"/>
              <w:tabs>
                <w:tab w:val="left" w:pos="0"/>
                <w:tab w:val="left" w:pos="51"/>
              </w:tabs>
              <w:suppressAutoHyphens/>
              <w:ind w:firstLine="307"/>
              <w:jc w:val="both"/>
              <w:rPr>
                <w:lang w:val="ro-RO"/>
              </w:rPr>
            </w:pPr>
            <w:r w:rsidRPr="00FC23C1">
              <w:rPr>
                <w:lang w:val="ro-RO"/>
              </w:rPr>
              <w:t>Nu au fost determinate, acestea din urmă, pentru opțiunea dată.</w:t>
            </w:r>
          </w:p>
          <w:p w:rsidR="00D1740D" w:rsidRPr="00FC23C1" w:rsidRDefault="00D1740D" w:rsidP="00885D20">
            <w:pPr>
              <w:pStyle w:val="NormalWeb"/>
              <w:tabs>
                <w:tab w:val="left" w:pos="993"/>
                <w:tab w:val="left" w:pos="1134"/>
              </w:tabs>
              <w:ind w:firstLine="307"/>
              <w:rPr>
                <w:lang w:val="ro-RO"/>
              </w:rPr>
            </w:pPr>
            <w:r w:rsidRPr="00FC23C1">
              <w:rPr>
                <w:b/>
                <w:lang w:val="ro-RO"/>
              </w:rPr>
              <w:t>Efecte negative:</w:t>
            </w:r>
          </w:p>
          <w:p w:rsidR="00647BBE" w:rsidRPr="00FC23C1" w:rsidRDefault="00D1740D" w:rsidP="00112F86">
            <w:pPr>
              <w:pStyle w:val="NormalWeb"/>
              <w:tabs>
                <w:tab w:val="left" w:pos="993"/>
                <w:tab w:val="left" w:pos="1134"/>
              </w:tabs>
              <w:ind w:firstLine="307"/>
              <w:rPr>
                <w:lang w:val="ro-RO"/>
              </w:rPr>
            </w:pPr>
            <w:r w:rsidRPr="00FC23C1">
              <w:rPr>
                <w:lang w:val="ro-RO"/>
              </w:rPr>
              <w:t xml:space="preserve">În cazul lipsei unei intervenții prin elaborarea şi aprobarea </w:t>
            </w:r>
            <w:r w:rsidR="009D488C" w:rsidRPr="00D2379B">
              <w:rPr>
                <w:lang w:val="ro-RO"/>
              </w:rPr>
              <w:t>Metodologiei</w:t>
            </w:r>
            <w:r w:rsidR="00E43612">
              <w:rPr>
                <w:lang w:val="ro-RO"/>
              </w:rPr>
              <w:t xml:space="preserve"> </w:t>
            </w:r>
            <w:r w:rsidR="00E43612" w:rsidRPr="00FC23C1">
              <w:rPr>
                <w:lang w:val="ro-RO"/>
              </w:rPr>
              <w:t xml:space="preserve">de calculare a plăţii pentru dezechilibru zilnic </w:t>
            </w:r>
            <w:r w:rsidR="00504C69" w:rsidRPr="00FC23C1">
              <w:rPr>
                <w:lang w:val="ro-RO"/>
              </w:rPr>
              <w:t xml:space="preserve">nu vor fi elaborate </w:t>
            </w:r>
            <w:r w:rsidR="008504C1" w:rsidRPr="00FC23C1">
              <w:rPr>
                <w:lang w:val="ro-RO"/>
              </w:rPr>
              <w:t>mecanismele necesare</w:t>
            </w:r>
            <w:r w:rsidR="00504C69" w:rsidRPr="00FC23C1">
              <w:rPr>
                <w:lang w:val="ro-RO"/>
              </w:rPr>
              <w:t xml:space="preserve"> pentru evitarea</w:t>
            </w:r>
            <w:r w:rsidR="008504C1" w:rsidRPr="00FC23C1">
              <w:rPr>
                <w:lang w:val="ro-RO"/>
              </w:rPr>
              <w:t xml:space="preserve"> situațiilor excepționale pe piața gazelor naturale din Republica Moldova. </w:t>
            </w:r>
            <w:r w:rsidR="008504C1" w:rsidRPr="00FC23C1">
              <w:rPr>
                <w:lang w:val="ro-RO" w:eastAsia="ru-MD"/>
              </w:rPr>
              <w:t xml:space="preserve">Dezechilibrele create de utilizatorii de sistem pot afecta  în continuare regimul de funcționare normal al rețelei de transport a gazelor naturale și pune în pericol securitatea aprovizionării cu gaze naturale a Republicii Moldova. De asemenea, Entitatea de Echilibrare va suferi pierderi </w:t>
            </w:r>
            <w:r w:rsidR="00E43612">
              <w:rPr>
                <w:lang w:val="ro-MD" w:eastAsia="ru-MD"/>
              </w:rPr>
              <w:t>în ne</w:t>
            </w:r>
            <w:r w:rsidR="008504C1" w:rsidRPr="00FC23C1">
              <w:rPr>
                <w:lang w:val="ro-RO" w:eastAsia="ru-MD"/>
              </w:rPr>
              <w:t xml:space="preserve">realizarea acțiunilor de echilibrare ce se impun conform </w:t>
            </w:r>
            <w:r w:rsidR="008504C1" w:rsidRPr="00AC1523">
              <w:rPr>
                <w:lang w:val="ro-RO" w:eastAsia="ru-MD"/>
              </w:rPr>
              <w:t>legislației în vigoare.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b1)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647BBE" w:rsidRPr="00FC23C1" w:rsidTr="00885D20">
        <w:trPr>
          <w:trHeight w:val="2036"/>
        </w:trPr>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7C47D4" w:rsidRDefault="007C47D4" w:rsidP="007C47D4">
            <w:pPr>
              <w:tabs>
                <w:tab w:val="left" w:pos="1020"/>
              </w:tabs>
              <w:spacing w:line="276" w:lineRule="auto"/>
              <w:ind w:firstLine="361"/>
              <w:jc w:val="both"/>
              <w:rPr>
                <w:iCs/>
                <w:lang w:val="ro-RO"/>
              </w:rPr>
            </w:pPr>
            <w:r w:rsidRPr="000C2A15">
              <w:rPr>
                <w:iCs/>
                <w:lang w:val="ro-RO"/>
              </w:rPr>
              <w:t>In urma analizei opțiunii recomandate au fost identificate următoarele impacturi :</w:t>
            </w:r>
          </w:p>
          <w:p w:rsidR="007C47D4" w:rsidRPr="00FC23C1" w:rsidRDefault="007C47D4" w:rsidP="007C47D4">
            <w:pPr>
              <w:pStyle w:val="ListParagraph"/>
              <w:numPr>
                <w:ilvl w:val="0"/>
                <w:numId w:val="3"/>
              </w:numPr>
              <w:ind w:left="23" w:firstLine="426"/>
              <w:jc w:val="both"/>
              <w:rPr>
                <w:lang w:val="ro-RO" w:eastAsia="ro-RO"/>
              </w:rPr>
            </w:pPr>
            <w:r w:rsidRPr="00FC23C1">
              <w:rPr>
                <w:lang w:val="ro-RO" w:eastAsia="ru-MD"/>
              </w:rPr>
              <w:t xml:space="preserve">va </w:t>
            </w:r>
            <w:r w:rsidR="00417A57">
              <w:rPr>
                <w:lang w:val="ro-RO" w:eastAsia="ru-MD"/>
              </w:rPr>
              <w:t xml:space="preserve">fi </w:t>
            </w:r>
            <w:r w:rsidR="00417A57" w:rsidRPr="0080621B">
              <w:rPr>
                <w:bCs/>
                <w:lang w:val="ro-RO"/>
              </w:rPr>
              <w:t>reglementează modalitatea de calculare de către E</w:t>
            </w:r>
            <w:r w:rsidR="00417A57">
              <w:rPr>
                <w:bCs/>
                <w:lang w:val="ro-RO"/>
              </w:rPr>
              <w:t>E</w:t>
            </w:r>
            <w:r w:rsidR="00417A57" w:rsidRPr="0080621B">
              <w:rPr>
                <w:bCs/>
                <w:lang w:val="ro-RO"/>
              </w:rPr>
              <w:t xml:space="preserve"> a plăților pentru dezechilibru zilnic care vor fi percepute de la PRE sau achitate în folosul PRE, în cazul dezechilibrelor por</w:t>
            </w:r>
            <w:r w:rsidR="00417A57">
              <w:rPr>
                <w:bCs/>
                <w:lang w:val="ro-RO"/>
              </w:rPr>
              <w:t>tofoliilor lor de echilibrare;</w:t>
            </w:r>
          </w:p>
          <w:p w:rsidR="007C47D4" w:rsidRPr="00FC23C1" w:rsidRDefault="007C47D4" w:rsidP="007C47D4">
            <w:pPr>
              <w:pStyle w:val="ListParagraph"/>
              <w:numPr>
                <w:ilvl w:val="0"/>
                <w:numId w:val="3"/>
              </w:numPr>
              <w:ind w:left="23" w:firstLine="426"/>
              <w:jc w:val="both"/>
              <w:rPr>
                <w:lang w:val="ro-RO" w:eastAsia="ro-RO"/>
              </w:rPr>
            </w:pPr>
            <w:r w:rsidRPr="00FC23C1">
              <w:rPr>
                <w:lang w:val="ro-RO" w:eastAsia="ru-MD"/>
              </w:rPr>
              <w:t xml:space="preserve">va fi prevăzută </w:t>
            </w:r>
            <w:r w:rsidRPr="00FC23C1">
              <w:rPr>
                <w:lang w:val="ro-RO" w:eastAsia="ro-RO"/>
              </w:rPr>
              <w:t>modalitatea de realizare a decontărilor financiare pentru dezechilibrele provocate de</w:t>
            </w:r>
            <w:r w:rsidRPr="00FC23C1">
              <w:rPr>
                <w:lang w:val="ro-RO"/>
              </w:rPr>
              <w:t xml:space="preserve"> utilizatorii de sistem; </w:t>
            </w:r>
          </w:p>
          <w:p w:rsidR="007C47D4" w:rsidRPr="00FC23C1" w:rsidRDefault="007C47D4" w:rsidP="007C47D4">
            <w:pPr>
              <w:pStyle w:val="ListParagraph"/>
              <w:numPr>
                <w:ilvl w:val="0"/>
                <w:numId w:val="3"/>
              </w:numPr>
              <w:ind w:left="23" w:firstLine="426"/>
              <w:jc w:val="both"/>
              <w:rPr>
                <w:lang w:val="ro-RO" w:eastAsia="ru-MD"/>
              </w:rPr>
            </w:pPr>
            <w:r w:rsidRPr="00FC23C1">
              <w:rPr>
                <w:lang w:val="ro-RO" w:eastAsia="ru-MD"/>
              </w:rPr>
              <w:t>va fi asigurat cadrul legal necesar implementări mecanismului de echilibrare stabilit de Co</w:t>
            </w:r>
            <w:r w:rsidR="00417A57">
              <w:rPr>
                <w:lang w:val="ro-RO" w:eastAsia="ru-MD"/>
              </w:rPr>
              <w:t>dul rețelelor de gaze naturale;</w:t>
            </w:r>
          </w:p>
          <w:p w:rsidR="007C47D4" w:rsidRPr="00417A57" w:rsidRDefault="00417A57" w:rsidP="00417A57">
            <w:pPr>
              <w:pStyle w:val="ListParagraph"/>
              <w:numPr>
                <w:ilvl w:val="0"/>
                <w:numId w:val="3"/>
              </w:numPr>
              <w:tabs>
                <w:tab w:val="left" w:pos="591"/>
              </w:tabs>
              <w:spacing w:line="276" w:lineRule="auto"/>
              <w:ind w:left="0" w:firstLine="449"/>
              <w:jc w:val="both"/>
              <w:rPr>
                <w:iCs/>
                <w:lang w:val="ro-RO"/>
              </w:rPr>
            </w:pPr>
            <w:r>
              <w:rPr>
                <w:lang w:val="ro-RO" w:eastAsia="ru-MD"/>
              </w:rPr>
              <w:t xml:space="preserve">nu </w:t>
            </w:r>
            <w:r w:rsidR="007C47D4" w:rsidRPr="00417A57">
              <w:rPr>
                <w:lang w:val="ro-RO" w:eastAsia="ru-MD"/>
              </w:rPr>
              <w:t xml:space="preserve">va exista </w:t>
            </w:r>
            <w:r w:rsidR="007C47D4" w:rsidRPr="00417A57">
              <w:rPr>
                <w:lang w:val="ro-RO"/>
              </w:rPr>
              <w:t>riscul de nerambursare de către PRE a cheltuielilor EE pentru acoperirea dezechilibrelor zilnice, plăților pentru acțiuni de echilibrare și a altor cheltuieli legate de activitățile sale de echilibrare.</w:t>
            </w:r>
          </w:p>
          <w:p w:rsidR="00885D20" w:rsidRDefault="00885D20" w:rsidP="00901B14">
            <w:pPr>
              <w:tabs>
                <w:tab w:val="left" w:pos="1020"/>
              </w:tabs>
              <w:ind w:firstLine="361"/>
              <w:jc w:val="both"/>
              <w:rPr>
                <w:b/>
                <w:iCs/>
                <w:u w:val="single"/>
                <w:lang w:val="ro-RO"/>
              </w:rPr>
            </w:pPr>
          </w:p>
          <w:p w:rsidR="00901B14" w:rsidRDefault="00901B14" w:rsidP="00901B14">
            <w:pPr>
              <w:tabs>
                <w:tab w:val="left" w:pos="1020"/>
              </w:tabs>
              <w:ind w:firstLine="361"/>
              <w:jc w:val="both"/>
              <w:rPr>
                <w:b/>
                <w:bCs/>
                <w:iCs/>
                <w:u w:val="single"/>
                <w:lang w:val="ro-RO"/>
              </w:rPr>
            </w:pPr>
            <w:r w:rsidRPr="00FC23C1">
              <w:rPr>
                <w:b/>
                <w:iCs/>
                <w:u w:val="single"/>
                <w:lang w:val="ro-RO"/>
              </w:rPr>
              <w:t>Costuri</w:t>
            </w:r>
            <w:r w:rsidRPr="00FC23C1">
              <w:rPr>
                <w:b/>
                <w:bCs/>
                <w:iCs/>
                <w:u w:val="single"/>
                <w:lang w:val="ro-RO"/>
              </w:rPr>
              <w:t>:</w:t>
            </w:r>
          </w:p>
          <w:p w:rsidR="00C87D55" w:rsidRPr="00AB300D" w:rsidRDefault="00C87D55" w:rsidP="00C87D55">
            <w:pPr>
              <w:pStyle w:val="CharChar"/>
              <w:numPr>
                <w:ilvl w:val="0"/>
                <w:numId w:val="10"/>
              </w:numPr>
              <w:spacing w:after="0" w:line="276" w:lineRule="auto"/>
              <w:ind w:left="23" w:firstLine="337"/>
              <w:jc w:val="both"/>
              <w:rPr>
                <w:rFonts w:ascii="Times New Roman" w:hAnsi="Times New Roman"/>
                <w:color w:val="000000" w:themeColor="text1"/>
                <w:szCs w:val="24"/>
                <w:lang w:val="ro-MD" w:eastAsia="ru-RU"/>
              </w:rPr>
            </w:pPr>
            <w:r w:rsidRPr="00124103">
              <w:rPr>
                <w:rFonts w:ascii="Times New Roman" w:hAnsi="Times New Roman"/>
                <w:color w:val="000000" w:themeColor="text1"/>
                <w:szCs w:val="24"/>
                <w:lang w:val="ro-MD" w:eastAsia="ru-RU"/>
              </w:rPr>
              <w:t xml:space="preserve">Intervenția în cauză nu va afecta negativ activitatea </w:t>
            </w:r>
            <w:r>
              <w:rPr>
                <w:rFonts w:ascii="Times New Roman" w:hAnsi="Times New Roman"/>
                <w:szCs w:val="24"/>
                <w:lang w:val="ro-RO"/>
              </w:rPr>
              <w:t xml:space="preserve">Entității de echilibrare </w:t>
            </w:r>
            <w:r w:rsidRPr="00A8345B">
              <w:rPr>
                <w:rFonts w:ascii="Times New Roman" w:hAnsi="Times New Roman"/>
                <w:szCs w:val="24"/>
                <w:lang w:val="ro-RO"/>
              </w:rPr>
              <w:t>av</w:t>
            </w:r>
            <w:r>
              <w:rPr>
                <w:rFonts w:ascii="Times New Roman" w:hAnsi="Times New Roman"/>
                <w:szCs w:val="24"/>
                <w:lang w:val="ro-RO"/>
              </w:rPr>
              <w:t>â</w:t>
            </w:r>
            <w:r w:rsidRPr="00A8345B">
              <w:rPr>
                <w:rFonts w:ascii="Times New Roman" w:hAnsi="Times New Roman"/>
                <w:szCs w:val="24"/>
                <w:lang w:val="ro-RO"/>
              </w:rPr>
              <w:t xml:space="preserve">nd în vedere că activitatea de </w:t>
            </w:r>
            <w:r>
              <w:rPr>
                <w:rFonts w:ascii="Times New Roman" w:hAnsi="Times New Roman"/>
                <w:szCs w:val="24"/>
                <w:lang w:val="ro-RO"/>
              </w:rPr>
              <w:t xml:space="preserve">echilibrare </w:t>
            </w:r>
            <w:r w:rsidRPr="00A8345B">
              <w:rPr>
                <w:rFonts w:ascii="Times New Roman" w:hAnsi="Times New Roman"/>
                <w:szCs w:val="24"/>
                <w:lang w:val="ro-RO"/>
              </w:rPr>
              <w:t xml:space="preserve"> a </w:t>
            </w:r>
            <w:r>
              <w:rPr>
                <w:rFonts w:ascii="Times New Roman" w:hAnsi="Times New Roman"/>
                <w:szCs w:val="24"/>
                <w:lang w:val="ro-RO"/>
              </w:rPr>
              <w:t xml:space="preserve">rețelelor de </w:t>
            </w:r>
            <w:r w:rsidRPr="00A8345B">
              <w:rPr>
                <w:rFonts w:ascii="Times New Roman" w:hAnsi="Times New Roman"/>
                <w:szCs w:val="24"/>
                <w:lang w:val="ro-RO"/>
              </w:rPr>
              <w:t xml:space="preserve">gaze naturale este o activitate </w:t>
            </w:r>
            <w:r>
              <w:rPr>
                <w:rFonts w:ascii="Times New Roman" w:hAnsi="Times New Roman"/>
                <w:szCs w:val="24"/>
                <w:lang w:val="ro-RO"/>
              </w:rPr>
              <w:t xml:space="preserve">care nu înregistrează </w:t>
            </w:r>
            <w:r w:rsidRPr="001C2412">
              <w:rPr>
                <w:rFonts w:ascii="Times New Roman" w:hAnsi="Times New Roman"/>
                <w:szCs w:val="24"/>
                <w:lang w:val="ro-RO"/>
              </w:rPr>
              <w:t xml:space="preserve">câștiguri sau pierderi ca urmare a achitării sau perceperii plății pentru dezechilibru zilnic, plății </w:t>
            </w:r>
            <w:proofErr w:type="spellStart"/>
            <w:r w:rsidRPr="001C2412">
              <w:rPr>
                <w:rFonts w:ascii="Times New Roman" w:hAnsi="Times New Roman"/>
                <w:szCs w:val="24"/>
                <w:lang w:val="ro-RO"/>
              </w:rPr>
              <w:t>intrazilnice</w:t>
            </w:r>
            <w:proofErr w:type="spellEnd"/>
            <w:r w:rsidRPr="001C2412">
              <w:rPr>
                <w:rFonts w:ascii="Times New Roman" w:hAnsi="Times New Roman"/>
                <w:szCs w:val="24"/>
                <w:lang w:val="ro-RO"/>
              </w:rPr>
              <w:t xml:space="preserve">, plăților privind acțiunile de echilibrare și de alte cheltuieli legate de activitățile de echilibrare, </w:t>
            </w:r>
            <w:r w:rsidRPr="00AB300D">
              <w:rPr>
                <w:rFonts w:ascii="Times New Roman" w:hAnsi="Times New Roman"/>
                <w:szCs w:val="24"/>
                <w:lang w:val="ro-RO"/>
              </w:rPr>
              <w:t xml:space="preserve">care reprezintă de fapt toate activitățile desfășurate de EE în vederea îndeplinirii obligațiilor prevăzute în Titlu VI </w:t>
            </w:r>
            <w:r>
              <w:rPr>
                <w:rFonts w:ascii="Times New Roman" w:hAnsi="Times New Roman"/>
                <w:szCs w:val="24"/>
                <w:lang w:val="ro-RO"/>
              </w:rPr>
              <w:t>al Codului rețelelor de gaze naturale.</w:t>
            </w:r>
          </w:p>
          <w:p w:rsidR="00C87D55" w:rsidRPr="00FC23C1" w:rsidRDefault="00C87D55" w:rsidP="00901B14">
            <w:pPr>
              <w:tabs>
                <w:tab w:val="left" w:pos="1020"/>
              </w:tabs>
              <w:ind w:firstLine="361"/>
              <w:jc w:val="both"/>
              <w:rPr>
                <w:b/>
                <w:bCs/>
                <w:iCs/>
                <w:u w:val="single"/>
                <w:lang w:val="ro-RO"/>
              </w:rPr>
            </w:pPr>
          </w:p>
          <w:p w:rsidR="005C13E6" w:rsidRPr="00FC23C1" w:rsidRDefault="00BD1202" w:rsidP="00C87D55">
            <w:pPr>
              <w:numPr>
                <w:ilvl w:val="0"/>
                <w:numId w:val="10"/>
              </w:numPr>
              <w:suppressAutoHyphens/>
              <w:spacing w:line="276" w:lineRule="auto"/>
              <w:ind w:left="0" w:firstLine="449"/>
              <w:jc w:val="both"/>
              <w:rPr>
                <w:iCs/>
                <w:lang w:val="ro-RO"/>
              </w:rPr>
            </w:pPr>
            <w:r>
              <w:rPr>
                <w:lang w:val="ro-RO"/>
              </w:rPr>
              <w:t>Utilizatorii de sistem vor plăti plata</w:t>
            </w:r>
            <w:r w:rsidR="005C13E6" w:rsidRPr="00FC23C1">
              <w:rPr>
                <w:lang w:val="ro-RO"/>
              </w:rPr>
              <w:t xml:space="preserve"> pentru dezechilibrele provocate în conformitate cu </w:t>
            </w:r>
            <w:r w:rsidR="009D488C" w:rsidRPr="00D2379B">
              <w:rPr>
                <w:i/>
                <w:lang w:val="ro-RO"/>
              </w:rPr>
              <w:t>Metodologia</w:t>
            </w:r>
            <w:r w:rsidR="005C13E6" w:rsidRPr="0061275E">
              <w:rPr>
                <w:i/>
                <w:lang w:val="ro-RO"/>
              </w:rPr>
              <w:t xml:space="preserve"> </w:t>
            </w:r>
            <w:r w:rsidR="005C13E6" w:rsidRPr="0061275E">
              <w:rPr>
                <w:bCs/>
                <w:i/>
                <w:lang w:val="ro-RO" w:eastAsia="en-US"/>
              </w:rPr>
              <w:t xml:space="preserve">de calculare a </w:t>
            </w:r>
            <w:r w:rsidR="007F0C33" w:rsidRPr="0061275E">
              <w:rPr>
                <w:bCs/>
                <w:i/>
                <w:lang w:val="ro-RO" w:eastAsia="en-US"/>
              </w:rPr>
              <w:t>plăti</w:t>
            </w:r>
            <w:r w:rsidR="005C13E6" w:rsidRPr="0061275E">
              <w:rPr>
                <w:bCs/>
                <w:i/>
                <w:lang w:val="ro-RO" w:eastAsia="en-US"/>
              </w:rPr>
              <w:t xml:space="preserve"> pentru dezechilibru zilnic</w:t>
            </w:r>
            <w:r w:rsidR="005C13E6" w:rsidRPr="00FC23C1">
              <w:rPr>
                <w:bCs/>
                <w:lang w:val="ro-RO" w:eastAsia="en-US"/>
              </w:rPr>
              <w:t>.</w:t>
            </w:r>
          </w:p>
          <w:p w:rsidR="00901B14" w:rsidRPr="00FC23C1" w:rsidRDefault="00901B14" w:rsidP="00901B14">
            <w:pPr>
              <w:tabs>
                <w:tab w:val="left" w:pos="493"/>
              </w:tabs>
              <w:suppressAutoHyphens/>
              <w:jc w:val="both"/>
              <w:rPr>
                <w:iCs/>
                <w:lang w:val="ro-RO"/>
              </w:rPr>
            </w:pPr>
          </w:p>
          <w:p w:rsidR="00901B14" w:rsidRPr="00FC23C1" w:rsidRDefault="00901B14" w:rsidP="00901B14">
            <w:pPr>
              <w:tabs>
                <w:tab w:val="left" w:pos="426"/>
                <w:tab w:val="left" w:pos="709"/>
              </w:tabs>
              <w:jc w:val="both"/>
              <w:rPr>
                <w:iCs/>
                <w:u w:val="single"/>
                <w:lang w:val="ro-RO"/>
              </w:rPr>
            </w:pPr>
            <w:r w:rsidRPr="00FC23C1">
              <w:rPr>
                <w:iCs/>
                <w:lang w:val="ro-RO"/>
              </w:rPr>
              <w:t xml:space="preserve">      </w:t>
            </w:r>
            <w:r w:rsidRPr="00FC23C1">
              <w:rPr>
                <w:b/>
                <w:bCs/>
                <w:iCs/>
                <w:u w:val="single"/>
                <w:lang w:val="ro-RO"/>
              </w:rPr>
              <w:t>Beneficii</w:t>
            </w:r>
            <w:r w:rsidRPr="00FC23C1">
              <w:rPr>
                <w:iCs/>
                <w:u w:val="single"/>
                <w:lang w:val="ro-RO"/>
              </w:rPr>
              <w:t>:</w:t>
            </w:r>
          </w:p>
          <w:p w:rsidR="00901B14" w:rsidRPr="00FC23C1" w:rsidRDefault="00901B14" w:rsidP="00885D20">
            <w:pPr>
              <w:numPr>
                <w:ilvl w:val="0"/>
                <w:numId w:val="7"/>
              </w:numPr>
              <w:tabs>
                <w:tab w:val="left" w:pos="307"/>
              </w:tabs>
              <w:suppressAutoHyphens/>
              <w:ind w:left="0" w:firstLine="23"/>
              <w:jc w:val="both"/>
              <w:rPr>
                <w:iCs/>
                <w:lang w:val="ro-RO"/>
              </w:rPr>
            </w:pPr>
            <w:r w:rsidRPr="00FC23C1">
              <w:rPr>
                <w:b/>
                <w:iCs/>
                <w:lang w:val="ro-RO"/>
              </w:rPr>
              <w:lastRenderedPageBreak/>
              <w:t>Creșterea fluxurilor comerciale și investiționale</w:t>
            </w:r>
            <w:r w:rsidRPr="00FC23C1">
              <w:rPr>
                <w:iCs/>
                <w:lang w:val="ro-RO"/>
              </w:rPr>
              <w:t xml:space="preserve"> urmare implementării în mod corespunzător practicilor UE, a prevederilor Legii cu privire la gazele naturale nr. 108/2016 cu modificările și completările ulterioare, în partea ce ţine de determinarea dezechilibrelor în sisteme de gaze naturale și a plăților în urma echilibrării acestora;</w:t>
            </w:r>
          </w:p>
          <w:p w:rsidR="00901B14" w:rsidRPr="00FC23C1" w:rsidRDefault="00901B14" w:rsidP="006500EF">
            <w:pPr>
              <w:numPr>
                <w:ilvl w:val="0"/>
                <w:numId w:val="7"/>
              </w:numPr>
              <w:suppressAutoHyphens/>
              <w:jc w:val="both"/>
              <w:rPr>
                <w:lang w:val="ro-RO"/>
              </w:rPr>
            </w:pPr>
            <w:r w:rsidRPr="00FC23C1">
              <w:rPr>
                <w:b/>
                <w:iCs/>
                <w:lang w:val="ro-RO"/>
              </w:rPr>
              <w:t xml:space="preserve">Sporirea </w:t>
            </w:r>
            <w:r w:rsidR="00FB6F28" w:rsidRPr="00FC23C1">
              <w:rPr>
                <w:b/>
                <w:iCs/>
                <w:lang w:val="ro-RO"/>
              </w:rPr>
              <w:t>lichidității pieței de gaze naturale</w:t>
            </w:r>
            <w:r w:rsidR="000D07B8" w:rsidRPr="00FC23C1">
              <w:rPr>
                <w:iCs/>
                <w:lang w:val="ro-RO"/>
              </w:rPr>
              <w:t>, apariția pieței de echilibrare.</w:t>
            </w:r>
          </w:p>
          <w:p w:rsidR="00CE0B2F" w:rsidRPr="00FC23C1" w:rsidRDefault="00901B14" w:rsidP="006500EF">
            <w:pPr>
              <w:pStyle w:val="NormalWeb"/>
              <w:numPr>
                <w:ilvl w:val="0"/>
                <w:numId w:val="7"/>
              </w:numPr>
              <w:tabs>
                <w:tab w:val="left" w:pos="993"/>
                <w:tab w:val="left" w:pos="1134"/>
              </w:tabs>
              <w:rPr>
                <w:lang w:val="ro-RO"/>
              </w:rPr>
            </w:pPr>
            <w:r w:rsidRPr="00FC23C1">
              <w:rPr>
                <w:b/>
                <w:iCs/>
                <w:lang w:val="ro-RO"/>
              </w:rPr>
              <w:t>Stimularea concurenței pe piața gazelor</w:t>
            </w:r>
            <w:r w:rsidRPr="00FC23C1">
              <w:rPr>
                <w:iCs/>
                <w:lang w:val="ro-RO"/>
              </w:rPr>
              <w:t xml:space="preserve"> </w:t>
            </w:r>
            <w:r w:rsidR="00094920" w:rsidRPr="00094920">
              <w:rPr>
                <w:b/>
                <w:iCs/>
                <w:lang w:val="ro-RO"/>
              </w:rPr>
              <w:t>naturale</w:t>
            </w:r>
            <w:r w:rsidR="00F86D81">
              <w:rPr>
                <w:b/>
                <w:iCs/>
                <w:lang w:val="ro-RO"/>
              </w:rPr>
              <w: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lastRenderedPageBreak/>
              <w:t>b2)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ind w:firstLine="307"/>
              <w:jc w:val="both"/>
              <w:rPr>
                <w:lang w:val="ro-RO"/>
              </w:rPr>
            </w:pPr>
            <w:r w:rsidRPr="00FC23C1">
              <w:rPr>
                <w:lang w:val="ro-RO"/>
              </w:rPr>
              <w:t>În contextul prevederilor legislației în vigoare, nu au fost identificate opțiuni alternative de intervenție.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BD1202">
            <w:pPr>
              <w:ind w:firstLine="307"/>
              <w:jc w:val="both"/>
              <w:rPr>
                <w:lang w:val="ro-RO"/>
              </w:rPr>
            </w:pPr>
            <w:r w:rsidRPr="00FC23C1">
              <w:rPr>
                <w:lang w:val="ro-RO"/>
              </w:rPr>
              <w:t>În urma analizei opțiunii propuse nu au fost identificate riscuri majore care ar putea duce la eșecul intervenției sau general efecte negative majore.</w:t>
            </w:r>
          </w:p>
          <w:p w:rsidR="00647BBE" w:rsidRPr="00FC23C1" w:rsidRDefault="00647BBE" w:rsidP="000675AC">
            <w:pPr>
              <w:ind w:firstLine="306"/>
              <w:jc w:val="both"/>
              <w:rPr>
                <w:lang w:val="ro-RO"/>
              </w:rPr>
            </w:pPr>
            <w:r w:rsidRPr="00FC23C1">
              <w:rPr>
                <w:lang w:val="ro-RO"/>
              </w:rPr>
              <w:t xml:space="preserve">Un risc relativ minor, dar care este posibil să apară </w:t>
            </w:r>
            <w:r w:rsidR="000675AC">
              <w:rPr>
                <w:lang w:val="ro-RO"/>
              </w:rPr>
              <w:t>în perioada</w:t>
            </w:r>
            <w:r w:rsidRPr="00FC23C1">
              <w:rPr>
                <w:lang w:val="ro-RO"/>
              </w:rPr>
              <w:t xml:space="preserve"> de adaptare a utilizatorilor de sistem la noile condiții și reguli.</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jc w:val="both"/>
              <w:rPr>
                <w:i/>
                <w:lang w:val="ro-RO"/>
              </w:rPr>
            </w:pPr>
            <w:r w:rsidRPr="008530CD">
              <w:rPr>
                <w:b/>
                <w:i/>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2F5B71" w:rsidRDefault="008530CD" w:rsidP="008530CD">
            <w:pPr>
              <w:tabs>
                <w:tab w:val="left" w:pos="14766"/>
              </w:tabs>
              <w:ind w:firstLine="318"/>
              <w:jc w:val="both"/>
              <w:rPr>
                <w:lang w:val="ro-RO"/>
              </w:rPr>
            </w:pPr>
            <w:r w:rsidRPr="00A4049A">
              <w:rPr>
                <w:lang w:val="ro-RO"/>
              </w:rPr>
              <w:t>Proiectul elaborat nu produce nici un impact disproporționat care poate distorsiona concurența loială din sector, din contra</w:t>
            </w:r>
            <w:r>
              <w:rPr>
                <w:lang w:val="ro-RO"/>
              </w:rPr>
              <w:t>,</w:t>
            </w:r>
            <w:r w:rsidRPr="00A4049A">
              <w:rPr>
                <w:lang w:val="ro-RO"/>
              </w:rPr>
              <w:t xml:space="preserve"> </w:t>
            </w:r>
            <w:r w:rsidRPr="001C2412">
              <w:rPr>
                <w:lang w:val="ro-RO"/>
              </w:rPr>
              <w:t>stimulează la aceasta din urmă prin abordările individuale ale reglementatorului la stabilirea de măsuri, acțiuni și costuri la implementarea acestor prevederi legale.</w:t>
            </w:r>
            <w:r w:rsidR="002F5B71">
              <w:rPr>
                <w:lang w:val="ro-RO"/>
              </w:rPr>
              <w:t xml:space="preserve"> </w:t>
            </w:r>
          </w:p>
          <w:p w:rsidR="008530CD" w:rsidRPr="00A4049A" w:rsidRDefault="002F5B71" w:rsidP="008530CD">
            <w:pPr>
              <w:tabs>
                <w:tab w:val="left" w:pos="14766"/>
              </w:tabs>
              <w:ind w:firstLine="318"/>
              <w:jc w:val="both"/>
              <w:rPr>
                <w:lang w:val="ro-RO"/>
              </w:rPr>
            </w:pPr>
            <w:r>
              <w:rPr>
                <w:lang w:val="ro-RO"/>
              </w:rPr>
              <w:t xml:space="preserve">Este reglementat </w:t>
            </w:r>
            <w:r w:rsidRPr="00FC23C1">
              <w:rPr>
                <w:rFonts w:eastAsiaTheme="minorHAnsi"/>
                <w:lang w:val="ro-RO"/>
              </w:rPr>
              <w:t>procesul de alocare a cantităților de gaze naturale către PRE, calculul cantității dezechilibrului zilnic, calcularea prețului zilnic de echilibrare, calcularea plății  pentru dezechilibru zilnic modalitatea de alocare a volumelor către PRE la punctele de intrare și ieșire în/din rețeaua de distribuție a gazelor naturale.</w:t>
            </w:r>
          </w:p>
          <w:p w:rsidR="009513C7" w:rsidRPr="00FC23C1" w:rsidRDefault="009513C7" w:rsidP="009513C7">
            <w:pPr>
              <w:tabs>
                <w:tab w:val="left" w:pos="14766"/>
              </w:tabs>
              <w:ind w:firstLine="318"/>
              <w:jc w:val="both"/>
              <w:rPr>
                <w:lang w:val="ro-RO"/>
              </w:rPr>
            </w:pPr>
            <w:r>
              <w:rPr>
                <w:lang w:val="ro-RO" w:eastAsia="ru-MD"/>
              </w:rPr>
              <w:t>Astfel impactul re</w:t>
            </w:r>
            <w:r>
              <w:rPr>
                <w:lang w:val="ro-RO"/>
              </w:rPr>
              <w:t xml:space="preserve">sponsabilității </w:t>
            </w:r>
            <w:r w:rsidRPr="00FC23C1">
              <w:rPr>
                <w:lang w:val="ro-RO"/>
              </w:rPr>
              <w:t>de echilibrare a utilizatorilor de sistem stimulează lichiditatea și contribuie la o mai mare concurență pe piață.</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u w:val="single"/>
                <w:lang w:val="ro-RO"/>
              </w:rPr>
              <w:t>Concluzie</w:t>
            </w:r>
          </w:p>
          <w:p w:rsidR="00647BBE" w:rsidRPr="00FC23C1" w:rsidRDefault="00647BBE" w:rsidP="00D1740D">
            <w:pPr>
              <w:rPr>
                <w:lang w:val="ro-RO"/>
              </w:rPr>
            </w:pPr>
            <w:r w:rsidRPr="00FC23C1">
              <w:rPr>
                <w:b/>
                <w:lang w:val="ro-RO"/>
              </w:rPr>
              <w:t>e) Argumentați selectarea unei opțiunii, în baza atingerii obiectivelor, beneficiilor și costurilor, precum și a asigurării celui mai mic impact negativ asupra celor afectați</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835584">
            <w:pPr>
              <w:jc w:val="both"/>
              <w:rPr>
                <w:lang w:val="ro-RO"/>
              </w:rPr>
            </w:pPr>
            <w:r w:rsidRPr="00FC23C1">
              <w:rPr>
                <w:lang w:val="ro-RO"/>
              </w:rPr>
              <w:t>Concluzionând, autorii prezent</w:t>
            </w:r>
            <w:r w:rsidR="000D07B8" w:rsidRPr="00FC23C1">
              <w:rPr>
                <w:lang w:val="ro-RO"/>
              </w:rPr>
              <w:t>ei Analize de impact</w:t>
            </w:r>
            <w:r w:rsidRPr="00FC23C1">
              <w:rPr>
                <w:lang w:val="ro-RO"/>
              </w:rPr>
              <w:t xml:space="preserve"> optează pentru </w:t>
            </w:r>
            <w:proofErr w:type="spellStart"/>
            <w:r w:rsidRPr="00FC23C1">
              <w:rPr>
                <w:lang w:val="ro-RO"/>
              </w:rPr>
              <w:t>opţiunea</w:t>
            </w:r>
            <w:proofErr w:type="spellEnd"/>
            <w:r w:rsidRPr="00FC23C1">
              <w:rPr>
                <w:lang w:val="ro-RO"/>
              </w:rPr>
              <w:t xml:space="preserve"> care presupune elaborarea şi promovarea spre adoptare a</w:t>
            </w:r>
            <w:r w:rsidR="00DB2341" w:rsidRPr="00FC23C1">
              <w:rPr>
                <w:lang w:val="ro-RO"/>
              </w:rPr>
              <w:t xml:space="preserve"> </w:t>
            </w:r>
            <w:r w:rsidR="009D488C" w:rsidRPr="00D2379B">
              <w:rPr>
                <w:lang w:val="ro-RO"/>
              </w:rPr>
              <w:t>Metodologiei</w:t>
            </w:r>
            <w:r w:rsidR="00835584">
              <w:rPr>
                <w:lang w:val="ro-RO"/>
              </w:rPr>
              <w:t xml:space="preserve"> </w:t>
            </w:r>
            <w:r w:rsidR="00835584" w:rsidRPr="00FC23C1">
              <w:rPr>
                <w:lang w:val="ro-RO"/>
              </w:rPr>
              <w:t>de calculare a plăţii pentru dezechilibru zilnic</w:t>
            </w:r>
            <w:r w:rsidRPr="00FC23C1">
              <w:rPr>
                <w:lang w:val="ro-RO"/>
              </w:rPr>
              <w: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lang w:val="ro-RO"/>
              </w:rPr>
              <w:t>5. Implementarea şi monitorizarea</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a) Descrieți cum va fi organizată implementarea opțiunii recomandate, ce cadru juridic necesită a fi modificat și/sau elaborat și aprobat, ce schimbări instituționale sunt necesare </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561586" w:rsidP="00D1740D">
            <w:pPr>
              <w:jc w:val="both"/>
              <w:rPr>
                <w:lang w:val="ro-RO"/>
              </w:rPr>
            </w:pPr>
            <w:sdt>
              <w:sdtPr>
                <w:rPr>
                  <w:lang w:val="ro-RO"/>
                </w:rPr>
                <w:tag w:val="goog_rdk_5"/>
                <w:id w:val="-1738391624"/>
              </w:sdtPr>
              <w:sdtEndPr/>
              <w:sdtContent/>
            </w:sdt>
            <w:r w:rsidR="00647BBE" w:rsidRPr="00FC23C1">
              <w:rPr>
                <w:lang w:val="ro-RO"/>
              </w:rPr>
              <w:t>În prezent, cadrul juridic conține prevederile necesare pentru a permite Agenției de a efectua monitorizarea pieței gazelor naturale.</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i/>
                <w:lang w:val="ro-RO"/>
              </w:rPr>
              <w:lastRenderedPageBreak/>
              <w:t>b) Indicați clar indicatorii de performanță în baza cărora se va efectua monitorizarea</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jc w:val="both"/>
              <w:rPr>
                <w:lang w:val="ro-RO"/>
              </w:rPr>
            </w:pPr>
            <w:r w:rsidRPr="00FC23C1">
              <w:rPr>
                <w:lang w:val="ro-RO"/>
              </w:rPr>
              <w:t>Potențiali indicatori de performanță ce ar putea fi utilizați pentru a efectua monitorizarea și impactul intervenției propuse:</w:t>
            </w:r>
          </w:p>
          <w:p w:rsidR="00647BBE" w:rsidRPr="00FC23C1" w:rsidRDefault="00647BBE" w:rsidP="006500EF">
            <w:pPr>
              <w:numPr>
                <w:ilvl w:val="0"/>
                <w:numId w:val="1"/>
              </w:numPr>
              <w:jc w:val="both"/>
              <w:rPr>
                <w:lang w:val="ro-RO"/>
              </w:rPr>
            </w:pPr>
            <w:r w:rsidRPr="00FC23C1">
              <w:rPr>
                <w:lang w:val="ro-RO"/>
              </w:rPr>
              <w:t>Numărul participanților pieței de gaze naturale;</w:t>
            </w:r>
          </w:p>
          <w:p w:rsidR="00647BBE" w:rsidRPr="00FC23C1" w:rsidRDefault="00647BBE" w:rsidP="006500EF">
            <w:pPr>
              <w:numPr>
                <w:ilvl w:val="0"/>
                <w:numId w:val="1"/>
              </w:numPr>
              <w:jc w:val="both"/>
              <w:rPr>
                <w:lang w:val="ro-RO"/>
              </w:rPr>
            </w:pPr>
            <w:r w:rsidRPr="00FC23C1">
              <w:rPr>
                <w:lang w:val="ro-RO"/>
              </w:rPr>
              <w:t>Numărul anual de tranzacții efectuate pe piața gazelor naturale;</w:t>
            </w:r>
          </w:p>
          <w:p w:rsidR="00647BBE" w:rsidRPr="00FC23C1" w:rsidRDefault="00647BBE" w:rsidP="006500EF">
            <w:pPr>
              <w:numPr>
                <w:ilvl w:val="0"/>
                <w:numId w:val="1"/>
              </w:numPr>
              <w:jc w:val="both"/>
              <w:rPr>
                <w:lang w:val="ro-RO"/>
              </w:rPr>
            </w:pPr>
            <w:r w:rsidRPr="00FC23C1">
              <w:rPr>
                <w:lang w:val="ro-RO"/>
              </w:rPr>
              <w:t>Rata de utilizare a capacității rețelelor de transport al gazelor naturale;</w:t>
            </w:r>
          </w:p>
          <w:p w:rsidR="00647BBE" w:rsidRPr="00FC23C1" w:rsidRDefault="00647BBE" w:rsidP="00174233">
            <w:pPr>
              <w:ind w:left="720"/>
              <w:jc w:val="both"/>
              <w:rPr>
                <w:lang w:val="ro-RO"/>
              </w:rPr>
            </w:pP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i/>
                <w:lang w:val="ro-RO"/>
              </w:rPr>
              <w:t xml:space="preserve">c) Identificați peste cît timp vor fi resimțite impacturile estimate și este necesară evaluarea performanței actului normativ propus. Explicați cum va fi monitorizată şi evaluată </w:t>
            </w:r>
            <w:proofErr w:type="spellStart"/>
            <w:r w:rsidRPr="00FC23C1">
              <w:rPr>
                <w:i/>
                <w:lang w:val="ro-RO"/>
              </w:rPr>
              <w:t>opţiunea</w:t>
            </w:r>
            <w:proofErr w:type="spellEnd"/>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835584">
            <w:pPr>
              <w:jc w:val="both"/>
              <w:rPr>
                <w:lang w:val="ro-RO"/>
              </w:rPr>
            </w:pPr>
            <w:r w:rsidRPr="00FC23C1">
              <w:rPr>
                <w:lang w:val="ro-RO"/>
              </w:rPr>
              <w:t xml:space="preserve">Evaluarea impactului actului propus spre promovare va fi posibilă după o perioada de </w:t>
            </w:r>
            <w:r w:rsidR="00DB2341" w:rsidRPr="00FC23C1">
              <w:rPr>
                <w:lang w:val="ro-RO"/>
              </w:rPr>
              <w:t>cel puțin un an de la intrarea în vigoare a</w:t>
            </w:r>
            <w:r w:rsidR="00835584">
              <w:rPr>
                <w:lang w:val="ro-RO"/>
              </w:rPr>
              <w:t xml:space="preserve"> </w:t>
            </w:r>
            <w:r w:rsidR="009D488C" w:rsidRPr="00D2379B">
              <w:rPr>
                <w:lang w:val="ro-RO"/>
              </w:rPr>
              <w:t>Metodologiei</w:t>
            </w:r>
            <w:r w:rsidR="00DB2341" w:rsidRPr="00D2379B">
              <w:rPr>
                <w:lang w:val="ro-RO"/>
              </w:rPr>
              <w: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6. Consultarea</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a) Identificați principalele părți (grupuri) interesate în intervenția propusă</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174233" w:rsidRPr="00174233" w:rsidRDefault="00174233" w:rsidP="006500EF">
            <w:pPr>
              <w:numPr>
                <w:ilvl w:val="0"/>
                <w:numId w:val="2"/>
              </w:numPr>
              <w:rPr>
                <w:rFonts w:eastAsia="Roboto"/>
                <w:color w:val="000000" w:themeColor="text1"/>
                <w:highlight w:val="white"/>
                <w:lang w:val="ro-RO"/>
              </w:rPr>
            </w:pPr>
            <w:r w:rsidRPr="00174233">
              <w:rPr>
                <w:rFonts w:eastAsia="Roboto"/>
                <w:color w:val="000000" w:themeColor="text1"/>
                <w:highlight w:val="white"/>
                <w:lang w:val="ro-RO"/>
              </w:rPr>
              <w:t>Entitatea de Echilibrare</w:t>
            </w:r>
          </w:p>
          <w:p w:rsidR="00647BBE" w:rsidRPr="00FC23C1" w:rsidRDefault="00647BBE" w:rsidP="006500EF">
            <w:pPr>
              <w:numPr>
                <w:ilvl w:val="0"/>
                <w:numId w:val="2"/>
              </w:numPr>
              <w:rPr>
                <w:rFonts w:ascii="Roboto" w:eastAsia="Roboto" w:hAnsi="Roboto" w:cs="Roboto"/>
                <w:color w:val="3C4043"/>
                <w:sz w:val="21"/>
                <w:szCs w:val="21"/>
                <w:highlight w:val="white"/>
                <w:lang w:val="ro-RO"/>
              </w:rPr>
            </w:pPr>
            <w:r w:rsidRPr="00FC23C1">
              <w:rPr>
                <w:lang w:val="ro-RO"/>
              </w:rPr>
              <w:t xml:space="preserve">Operatorii </w:t>
            </w:r>
            <w:r w:rsidR="00174233">
              <w:rPr>
                <w:lang w:val="ro-RO"/>
              </w:rPr>
              <w:t xml:space="preserve">de sistem </w:t>
            </w:r>
            <w:r w:rsidRPr="00FC23C1">
              <w:rPr>
                <w:lang w:val="ro-RO"/>
              </w:rPr>
              <w:t>al gazelor naturale;</w:t>
            </w:r>
          </w:p>
          <w:p w:rsidR="00647BBE" w:rsidRPr="00FC23C1" w:rsidRDefault="00DB2341" w:rsidP="006500EF">
            <w:pPr>
              <w:numPr>
                <w:ilvl w:val="0"/>
                <w:numId w:val="2"/>
              </w:numPr>
              <w:rPr>
                <w:rFonts w:ascii="Roboto" w:eastAsia="Roboto" w:hAnsi="Roboto" w:cs="Roboto"/>
                <w:color w:val="3C4043"/>
                <w:sz w:val="21"/>
                <w:szCs w:val="21"/>
                <w:highlight w:val="white"/>
                <w:lang w:val="ro-RO"/>
              </w:rPr>
            </w:pPr>
            <w:r w:rsidRPr="00FC23C1">
              <w:rPr>
                <w:lang w:val="ro-RO"/>
              </w:rPr>
              <w:t xml:space="preserve">Furnizorii de gaze naturale, </w:t>
            </w:r>
            <w:proofErr w:type="spellStart"/>
            <w:r w:rsidRPr="00FC23C1">
              <w:rPr>
                <w:lang w:val="ro-RO"/>
              </w:rPr>
              <w:t>traderii</w:t>
            </w:r>
            <w:proofErr w:type="spellEnd"/>
            <w:r w:rsidR="00974401">
              <w:rPr>
                <w:lang w:val="ro-RO"/>
              </w:rPr>
              <w:t xml:space="preserve"> (utilizatorii de sistem)</w:t>
            </w:r>
            <w:r w:rsidRPr="00FC23C1">
              <w:rPr>
                <w:lang w:val="ro-RO"/>
              </w:rPr>
              <w: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b) Explicați succint cum (prin ce metode) s-a asigurat consultarea adecvată a părților</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FC23C1" w:rsidRDefault="00835584" w:rsidP="00D1740D">
            <w:pPr>
              <w:ind w:firstLine="307"/>
              <w:jc w:val="both"/>
              <w:rPr>
                <w:lang w:val="ro-RO"/>
              </w:rPr>
            </w:pPr>
            <w:r>
              <w:rPr>
                <w:lang w:val="ro-RO"/>
              </w:rPr>
              <w:t xml:space="preserve">Proiectul </w:t>
            </w:r>
            <w:r w:rsidR="009D488C" w:rsidRPr="00D2379B">
              <w:rPr>
                <w:lang w:val="ro-RO"/>
              </w:rPr>
              <w:t>Metodologiei</w:t>
            </w:r>
            <w:r>
              <w:rPr>
                <w:lang w:val="ro-RO"/>
              </w:rPr>
              <w:t xml:space="preserve"> a</w:t>
            </w:r>
            <w:r w:rsidR="00647BBE" w:rsidRPr="00FC23C1">
              <w:rPr>
                <w:lang w:val="ro-RO"/>
              </w:rPr>
              <w:t xml:space="preserve"> fost publicat pe pagina oficială a ANRE</w:t>
            </w:r>
            <w:r w:rsidR="00205A53" w:rsidRPr="00FC23C1">
              <w:rPr>
                <w:lang w:val="ro-RO"/>
              </w:rPr>
              <w:t xml:space="preserve"> și </w:t>
            </w:r>
            <w:r w:rsidR="00631C46">
              <w:rPr>
                <w:lang w:val="ro-RO"/>
              </w:rPr>
              <w:t xml:space="preserve">urmează a fi consultat cu </w:t>
            </w:r>
            <w:r w:rsidR="00647BBE" w:rsidRPr="00FC23C1">
              <w:rPr>
                <w:lang w:val="ro-RO"/>
              </w:rPr>
              <w:t xml:space="preserve">participanții la piața gazelor naturale, autoritățile competente și alte părți interesate în conformitate cu Legea </w:t>
            </w:r>
            <w:r w:rsidR="00896F81">
              <w:rPr>
                <w:lang w:val="ro-RO"/>
              </w:rPr>
              <w:t>nr.</w:t>
            </w:r>
            <w:r w:rsidR="00896F81">
              <w:rPr>
                <w:lang w:val="ro-RO" w:eastAsia="ar-SA"/>
              </w:rPr>
              <w:t xml:space="preserve"> nr. 239</w:t>
            </w:r>
            <w:r w:rsidR="00896F81" w:rsidRPr="00FC23C1">
              <w:rPr>
                <w:lang w:val="ro-RO" w:eastAsia="ar-SA"/>
              </w:rPr>
              <w:t>/200</w:t>
            </w:r>
            <w:r w:rsidR="00896F81">
              <w:rPr>
                <w:lang w:val="ro-RO" w:eastAsia="ar-SA"/>
              </w:rPr>
              <w:t>8</w:t>
            </w:r>
            <w:r w:rsidR="00896F81" w:rsidRPr="00FC23C1">
              <w:rPr>
                <w:lang w:val="ro-RO" w:eastAsia="ar-SA"/>
              </w:rPr>
              <w:t xml:space="preserve"> </w:t>
            </w:r>
            <w:r w:rsidR="00647BBE" w:rsidRPr="00FC23C1">
              <w:rPr>
                <w:lang w:val="ro-RO" w:eastAsia="ar-SA"/>
              </w:rPr>
              <w:t>privind transparenţ</w:t>
            </w:r>
            <w:r w:rsidR="00F1041C">
              <w:rPr>
                <w:lang w:val="ro-RO" w:eastAsia="ar-SA"/>
              </w:rPr>
              <w:t xml:space="preserve">a în procesul decizional </w:t>
            </w:r>
            <w:r w:rsidR="00647BBE" w:rsidRPr="00FC23C1">
              <w:rPr>
                <w:lang w:val="ro-RO" w:eastAsia="ar-SA"/>
              </w:rPr>
              <w:t xml:space="preserve">şi Legea </w:t>
            </w:r>
            <w:r w:rsidR="00896F81" w:rsidRPr="00FC23C1">
              <w:rPr>
                <w:lang w:val="ro-RO" w:eastAsia="ar-SA"/>
              </w:rPr>
              <w:t>nr. 100/2017</w:t>
            </w:r>
            <w:r w:rsidR="00647BBE" w:rsidRPr="00FC23C1">
              <w:rPr>
                <w:lang w:val="ro-RO" w:eastAsia="ar-SA"/>
              </w:rPr>
              <w:t>privind actele normative</w:t>
            </w:r>
            <w:r w:rsidR="00647BBE" w:rsidRPr="00FC23C1">
              <w:rPr>
                <w:lang w:val="ro-RO"/>
              </w:rPr>
              <w:t>.</w:t>
            </w:r>
          </w:p>
          <w:p w:rsidR="00647BBE" w:rsidRPr="00FC23C1" w:rsidRDefault="00647BBE" w:rsidP="00D1740D">
            <w:pPr>
              <w:ind w:firstLine="307"/>
              <w:jc w:val="both"/>
              <w:rPr>
                <w:color w:val="000000"/>
                <w:lang w:val="ro-RO"/>
              </w:rPr>
            </w:pPr>
            <w:r w:rsidRPr="00FC23C1">
              <w:rPr>
                <w:lang w:val="ro-RO"/>
              </w:rPr>
              <w:t xml:space="preserve">În acest context, Agenţia </w:t>
            </w:r>
            <w:r w:rsidR="00205A53" w:rsidRPr="00FC23C1">
              <w:rPr>
                <w:lang w:val="ro-RO"/>
              </w:rPr>
              <w:t>va</w:t>
            </w:r>
            <w:r w:rsidRPr="00FC23C1">
              <w:rPr>
                <w:lang w:val="ro-RO"/>
              </w:rPr>
              <w:t xml:space="preserve"> consulta Analiza Impactului şi proiectul cu </w:t>
            </w:r>
            <w:r w:rsidRPr="00FC23C1">
              <w:rPr>
                <w:color w:val="000000"/>
                <w:lang w:val="ro-RO"/>
              </w:rPr>
              <w:t xml:space="preserve">Ministerul </w:t>
            </w:r>
            <w:r w:rsidR="00205A53" w:rsidRPr="00FC23C1">
              <w:rPr>
                <w:color w:val="000000"/>
                <w:lang w:val="ro-RO"/>
              </w:rPr>
              <w:t xml:space="preserve">Infrastructurii și </w:t>
            </w:r>
            <w:r w:rsidR="00885D20">
              <w:rPr>
                <w:color w:val="000000"/>
                <w:lang w:val="ro-RO"/>
              </w:rPr>
              <w:t>Dezvoltării R</w:t>
            </w:r>
            <w:r w:rsidR="00205A53" w:rsidRPr="00FC23C1">
              <w:rPr>
                <w:color w:val="000000"/>
                <w:lang w:val="ro-RO"/>
              </w:rPr>
              <w:t>egionale</w:t>
            </w:r>
            <w:r w:rsidRPr="00FC23C1">
              <w:rPr>
                <w:color w:val="000000"/>
                <w:lang w:val="ro-RO"/>
              </w:rPr>
              <w:t xml:space="preserve">, Consiliul Concurenței, </w:t>
            </w:r>
            <w:r w:rsidRPr="00FC23C1">
              <w:rPr>
                <w:lang w:val="ro-RO" w:eastAsia="ar-SA"/>
              </w:rPr>
              <w:t>Agenția pentru protecția consumatorilor și supravegherea pieței,</w:t>
            </w:r>
            <w:r w:rsidRPr="00FC23C1">
              <w:rPr>
                <w:color w:val="000000"/>
                <w:lang w:val="ro-RO"/>
              </w:rPr>
              <w:t xml:space="preserve"> ope</w:t>
            </w:r>
            <w:r w:rsidR="00205A53" w:rsidRPr="00FC23C1">
              <w:rPr>
                <w:color w:val="000000"/>
                <w:lang w:val="ro-RO"/>
              </w:rPr>
              <w:t xml:space="preserve">ratorii </w:t>
            </w:r>
            <w:r w:rsidR="008530CD">
              <w:rPr>
                <w:color w:val="000000"/>
                <w:lang w:val="ro-RO"/>
              </w:rPr>
              <w:t>de sistem şi</w:t>
            </w:r>
            <w:r w:rsidR="00205A53" w:rsidRPr="00FC23C1">
              <w:rPr>
                <w:color w:val="000000"/>
                <w:lang w:val="ro-RO"/>
              </w:rPr>
              <w:t xml:space="preserve"> </w:t>
            </w:r>
            <w:r w:rsidRPr="00FC23C1">
              <w:rPr>
                <w:color w:val="000000"/>
                <w:lang w:val="ro-RO"/>
              </w:rPr>
              <w:t xml:space="preserve">titularii </w:t>
            </w:r>
            <w:r w:rsidRPr="00FC23C1">
              <w:rPr>
                <w:lang w:val="ro-RO"/>
              </w:rPr>
              <w:t>de licenţe pentru furnizarea gazelor naturale</w:t>
            </w:r>
            <w:r w:rsidR="00631C46">
              <w:rPr>
                <w:lang w:val="ro-RO"/>
              </w:rPr>
              <w:t xml:space="preserve"> (conform anexei)</w:t>
            </w:r>
            <w:r w:rsidRPr="00FC23C1">
              <w:rPr>
                <w:color w:val="000000"/>
                <w:lang w:val="ro-RO"/>
              </w:rPr>
              <w:t>.</w:t>
            </w:r>
          </w:p>
          <w:p w:rsidR="00647BBE" w:rsidRPr="00FC23C1" w:rsidRDefault="00647BBE" w:rsidP="00D1740D">
            <w:pPr>
              <w:ind w:firstLine="307"/>
              <w:jc w:val="both"/>
              <w:rPr>
                <w:i/>
                <w:lang w:val="ro-RO"/>
              </w:rPr>
            </w:pPr>
            <w:r w:rsidRPr="00FC23C1">
              <w:rPr>
                <w:color w:val="000000"/>
                <w:lang w:val="ro-RO"/>
              </w:rPr>
              <w:t xml:space="preserve">Propunerile şi obiecțiile recepționate </w:t>
            </w:r>
            <w:r w:rsidR="00205A53" w:rsidRPr="00FC23C1">
              <w:rPr>
                <w:color w:val="000000"/>
                <w:lang w:val="ro-RO"/>
              </w:rPr>
              <w:t>vor fi</w:t>
            </w:r>
            <w:r w:rsidRPr="00FC23C1">
              <w:rPr>
                <w:color w:val="000000"/>
                <w:lang w:val="ro-RO"/>
              </w:rPr>
              <w:t xml:space="preserve"> incluse în sinteza obiecțiilor şi propunerilor.</w:t>
            </w:r>
            <w:r w:rsidRPr="00FC23C1">
              <w:rPr>
                <w:i/>
                <w:lang w:val="ro-RO"/>
              </w:rPr>
              <w:t> </w:t>
            </w:r>
          </w:p>
          <w:p w:rsidR="00647BBE" w:rsidRPr="00FC23C1" w:rsidRDefault="00647BBE" w:rsidP="00D1740D">
            <w:pPr>
              <w:jc w:val="both"/>
              <w:rPr>
                <w:b/>
                <w:lang w:val="ro-RO"/>
              </w:rPr>
            </w:pPr>
          </w:p>
        </w:tc>
      </w:tr>
      <w:tr w:rsidR="00647BBE" w:rsidRPr="00FC23C1" w:rsidTr="00003036">
        <w:tc>
          <w:tcPr>
            <w:tcW w:w="9782" w:type="dxa"/>
            <w:tcBorders>
              <w:top w:val="single" w:sz="6" w:space="0" w:color="C1C7CD"/>
              <w:left w:val="single" w:sz="4" w:space="0" w:color="C1C7CD"/>
              <w:bottom w:val="single" w:sz="6" w:space="0" w:color="C1C7CD"/>
              <w:right w:val="single" w:sz="4" w:space="0" w:color="C1C7CD"/>
            </w:tcBorders>
            <w:tcMar>
              <w:top w:w="75" w:type="dxa"/>
              <w:left w:w="120" w:type="dxa"/>
              <w:bottom w:w="75" w:type="dxa"/>
              <w:right w:w="120" w:type="dxa"/>
            </w:tcMar>
          </w:tcPr>
          <w:p w:rsidR="00647BBE" w:rsidRPr="00FC23C1" w:rsidRDefault="00647BBE" w:rsidP="00D1740D">
            <w:pPr>
              <w:rPr>
                <w:lang w:val="ro-RO"/>
              </w:rPr>
            </w:pPr>
            <w:r w:rsidRPr="00FC23C1">
              <w:rPr>
                <w:b/>
                <w:i/>
                <w:lang w:val="ro-RO"/>
              </w:rPr>
              <w:t>c) Expuneți succint poziția fiecărei entități consultate față de documentul de analiză a impactului şi/sau intervenția propusă (se expune poziția a cel puțin unui exponent din fiecare grup de interese identificat)</w:t>
            </w:r>
          </w:p>
        </w:tc>
      </w:tr>
      <w:tr w:rsidR="00647BBE" w:rsidRPr="00FC23C1" w:rsidTr="00003036">
        <w:tc>
          <w:tcPr>
            <w:tcW w:w="9782" w:type="dxa"/>
            <w:tcBorders>
              <w:top w:val="single" w:sz="6" w:space="0" w:color="C1C7CD"/>
              <w:left w:val="single" w:sz="4" w:space="0" w:color="C1C7CD"/>
              <w:bottom w:val="single" w:sz="4" w:space="0" w:color="C1C7CD"/>
              <w:right w:val="single" w:sz="4" w:space="0" w:color="C1C7CD"/>
            </w:tcBorders>
            <w:shd w:val="clear" w:color="auto" w:fill="FFFFFF"/>
            <w:tcMar>
              <w:top w:w="75" w:type="dxa"/>
              <w:left w:w="120" w:type="dxa"/>
              <w:bottom w:w="75" w:type="dxa"/>
              <w:right w:w="120" w:type="dxa"/>
            </w:tcMar>
          </w:tcPr>
          <w:p w:rsidR="00647BBE" w:rsidRPr="00FC23C1" w:rsidRDefault="00647BBE" w:rsidP="00D1740D">
            <w:pPr>
              <w:rPr>
                <w:lang w:val="ro-RO"/>
              </w:rPr>
            </w:pPr>
          </w:p>
        </w:tc>
      </w:tr>
    </w:tbl>
    <w:p w:rsidR="00FB609F" w:rsidRDefault="00FB609F" w:rsidP="00D1740D">
      <w:pPr>
        <w:rPr>
          <w:lang w:val="ro-RO"/>
        </w:rPr>
      </w:pPr>
    </w:p>
    <w:p w:rsidR="00DC003D" w:rsidRDefault="00DC003D" w:rsidP="00D1740D">
      <w:pPr>
        <w:rPr>
          <w:lang w:val="ro-RO"/>
        </w:rPr>
      </w:pPr>
    </w:p>
    <w:p w:rsidR="00DC003D" w:rsidRDefault="00DC003D" w:rsidP="00D1740D">
      <w:pPr>
        <w:rPr>
          <w:lang w:val="ro-RO"/>
        </w:rPr>
      </w:pPr>
    </w:p>
    <w:p w:rsidR="00DC003D" w:rsidRDefault="00DC003D" w:rsidP="00D1740D">
      <w:pPr>
        <w:rPr>
          <w:lang w:val="ro-RO"/>
        </w:rPr>
      </w:pPr>
    </w:p>
    <w:p w:rsidR="00DC003D" w:rsidRDefault="00DC003D" w:rsidP="00D1740D">
      <w:pPr>
        <w:rPr>
          <w:lang w:val="ro-RO"/>
        </w:rPr>
      </w:pPr>
    </w:p>
    <w:p w:rsidR="00F2645C" w:rsidRDefault="00F2645C" w:rsidP="00D1740D">
      <w:pPr>
        <w:rPr>
          <w:lang w:val="ro-RO"/>
        </w:rPr>
      </w:pPr>
    </w:p>
    <w:p w:rsidR="00F2645C" w:rsidRDefault="00F2645C" w:rsidP="00D1740D">
      <w:pPr>
        <w:rPr>
          <w:lang w:val="ro-RO"/>
        </w:rPr>
      </w:pPr>
    </w:p>
    <w:p w:rsidR="00DC003D" w:rsidRPr="00FC23C1" w:rsidRDefault="00DC003D" w:rsidP="00D1740D">
      <w:pPr>
        <w:rPr>
          <w:lang w:val="ro-RO"/>
        </w:rPr>
      </w:pPr>
    </w:p>
    <w:p w:rsidR="00846B53" w:rsidRPr="00FC23C1" w:rsidRDefault="00846B53" w:rsidP="00D1740D">
      <w:pPr>
        <w:rPr>
          <w:lang w:val="ro-RO"/>
        </w:rPr>
      </w:pPr>
    </w:p>
    <w:tbl>
      <w:tblPr>
        <w:tblStyle w:val="a1"/>
        <w:tblW w:w="9644"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749"/>
        <w:gridCol w:w="1380"/>
        <w:gridCol w:w="30"/>
        <w:gridCol w:w="1216"/>
        <w:gridCol w:w="30"/>
        <w:gridCol w:w="1239"/>
      </w:tblGrid>
      <w:tr w:rsidR="00FB609F" w:rsidRPr="00FC23C1" w:rsidTr="007A783F">
        <w:tc>
          <w:tcPr>
            <w:tcW w:w="9644" w:type="dxa"/>
            <w:gridSpan w:val="6"/>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561586" w:rsidP="00D1740D">
            <w:pPr>
              <w:jc w:val="center"/>
              <w:rPr>
                <w:lang w:val="ro-RO"/>
              </w:rPr>
            </w:pPr>
            <w:sdt>
              <w:sdtPr>
                <w:rPr>
                  <w:lang w:val="ro-RO"/>
                </w:rPr>
                <w:tag w:val="goog_rdk_6"/>
                <w:id w:val="-375090318"/>
                <w:showingPlcHdr/>
              </w:sdtPr>
              <w:sdtEndPr/>
              <w:sdtContent>
                <w:r w:rsidR="00846B53" w:rsidRPr="00FC23C1">
                  <w:rPr>
                    <w:lang w:val="ro-RO"/>
                  </w:rPr>
                  <w:t xml:space="preserve">     </w:t>
                </w:r>
              </w:sdtContent>
            </w:sdt>
            <w:r w:rsidR="00F62480" w:rsidRPr="00FC23C1">
              <w:rPr>
                <w:b/>
                <w:lang w:val="ro-RO"/>
              </w:rPr>
              <w:t>Anexă</w:t>
            </w:r>
          </w:p>
          <w:p w:rsidR="00FB609F" w:rsidRPr="00FC23C1" w:rsidRDefault="00F62480" w:rsidP="00D1740D">
            <w:pPr>
              <w:jc w:val="center"/>
              <w:rPr>
                <w:lang w:val="ro-RO"/>
              </w:rPr>
            </w:pPr>
            <w:r w:rsidRPr="00FC23C1">
              <w:rPr>
                <w:b/>
                <w:lang w:val="ro-RO"/>
              </w:rPr>
              <w:t>Tabel pentru identificarea impacturilor</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b/>
                <w:lang w:val="ro-RO"/>
              </w:rPr>
              <w:t>Categorii de impact</w:t>
            </w:r>
          </w:p>
        </w:tc>
        <w:tc>
          <w:tcPr>
            <w:tcW w:w="3895" w:type="dxa"/>
            <w:gridSpan w:val="5"/>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jc w:val="center"/>
              <w:rPr>
                <w:b/>
                <w:lang w:val="ro-RO"/>
              </w:rPr>
            </w:pPr>
            <w:r w:rsidRPr="00FC23C1">
              <w:rPr>
                <w:b/>
                <w:lang w:val="ro-RO"/>
              </w:rPr>
              <w:t>Punctaj atribuit</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i/>
                <w:lang w:val="ro-RO"/>
              </w:rPr>
              <w:lastRenderedPageBreak/>
              <w:t> </w:t>
            </w:r>
          </w:p>
        </w:tc>
        <w:tc>
          <w:tcPr>
            <w:tcW w:w="1380"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i/>
                <w:lang w:val="ro-RO"/>
              </w:rPr>
              <w:t>Opțiunea</w:t>
            </w:r>
          </w:p>
          <w:p w:rsidR="00FB609F" w:rsidRPr="00FC23C1" w:rsidRDefault="00F62480" w:rsidP="00D1740D">
            <w:pPr>
              <w:rPr>
                <w:lang w:val="ro-RO"/>
              </w:rPr>
            </w:pPr>
            <w:r w:rsidRPr="00FC23C1">
              <w:rPr>
                <w:i/>
                <w:lang w:val="ro-RO"/>
              </w:rPr>
              <w:t>propusă</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i/>
                <w:lang w:val="ro-RO"/>
              </w:rPr>
              <w:t>Opțiunea aliterativă 1</w:t>
            </w:r>
          </w:p>
        </w:tc>
        <w:tc>
          <w:tcPr>
            <w:tcW w:w="1269"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i/>
                <w:lang w:val="ro-RO"/>
              </w:rPr>
              <w:t>Opțiunea aliterativă 2</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561586" w:rsidP="00D1740D">
            <w:pPr>
              <w:rPr>
                <w:lang w:val="ro-RO"/>
              </w:rPr>
            </w:pPr>
            <w:sdt>
              <w:sdtPr>
                <w:rPr>
                  <w:lang w:val="ro-RO"/>
                </w:rPr>
                <w:tag w:val="goog_rdk_7"/>
                <w:id w:val="-137889748"/>
              </w:sdtPr>
              <w:sdtEndPr/>
              <w:sdtContent/>
            </w:sdt>
            <w:r w:rsidR="00F62480" w:rsidRPr="00FC23C1">
              <w:rPr>
                <w:b/>
                <w:lang w:val="ro-RO"/>
              </w:rPr>
              <w:t>Economic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costurile desfășurării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povara administrativă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fluxurile comerciale și investiționale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competitivitatea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activitatea diferitor categorii de întreprinderi mici și mijlocii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concurența pe piață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631C46">
            <w:pPr>
              <w:rPr>
                <w:lang w:val="ro-RO"/>
              </w:rPr>
            </w:pPr>
            <w:r w:rsidRPr="00FC23C1">
              <w:rPr>
                <w:lang w:val="ro-RO"/>
              </w:rPr>
              <w:t> +</w:t>
            </w:r>
            <w:r w:rsidR="00631C46">
              <w:rPr>
                <w:lang w:val="ro-RO"/>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activitatea de inovare și cercetare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veniturile și cheltuielile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cadrul instituțional al autorităților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alegerea, calitatea și prețurile pentru consumatori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bunăstarea gospodăriilor casnice și a cetățenilor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situația social-economică în anumite regiuni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situația macroeconomică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alte aspecte economice</w:t>
            </w:r>
            <w:r w:rsidR="004159C6" w:rsidRPr="00FC23C1">
              <w:rPr>
                <w:lang w:val="ro-RO"/>
              </w:rPr>
              <w:t xml:space="preserve"> (costurile de adaptare la noile proceduri și cerințe de funcționare pentru operatorii sistemelor de transport și distribuție)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62480" w:rsidP="00D1740D">
            <w:pPr>
              <w:rPr>
                <w:lang w:val="ro-RO"/>
              </w:rPr>
            </w:pPr>
            <w:r w:rsidRPr="00FC23C1">
              <w:rPr>
                <w:b/>
                <w:lang w:val="ro-RO"/>
              </w:rPr>
              <w:t>Social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gradul de ocupare a forței de muncă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B609F" w:rsidP="00D1740D">
            <w:pPr>
              <w:rPr>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nivelul de salarizare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condițiile și organizarea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sănătatea și securitatea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formarea profesională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inegalitatea și distribuția veniturilor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nivelul veniturilor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nivelul sărăciei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la bunuri și servicii de bază, în special pentru persoanele social-vulnerabile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diversitatea culturală și lingvistică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partidele politice și organizațiile civice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lastRenderedPageBreak/>
              <w:t>sănătatea publică, inclusiv mortalitatea și morbiditatea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modul sănătos de viață al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nivelul criminalității și securității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și calitatea serviciilor de protecție socială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și calitatea serviciilor educaționale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și calitatea serviciilor medicale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și calitatea serviciilor publice administrative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nivelul și calitatea educației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conservarea patrimoniului cultural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populației la resurse culturale și participarea în manifestații culturale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accesul și participarea populației în activități sportive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discriminarea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alte aspecte sociale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62480" w:rsidP="00D1740D">
            <w:pPr>
              <w:rPr>
                <w:b/>
                <w:lang w:val="ro-RO"/>
              </w:rPr>
            </w:pPr>
            <w:r w:rsidRPr="00FC23C1">
              <w:rPr>
                <w:b/>
                <w:lang w:val="ro-RO"/>
              </w:rPr>
              <w:t>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b/>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FC23C1" w:rsidRDefault="00FB609F" w:rsidP="00D1740D">
            <w:pPr>
              <w:rPr>
                <w:rFonts w:ascii="Calibri" w:eastAsia="Calibri" w:hAnsi="Calibri" w:cs="Calibri"/>
                <w:sz w:val="20"/>
                <w:szCs w:val="20"/>
                <w:lang w:val="ro-RO"/>
              </w:rPr>
            </w:pP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clima, inclusiv emisiile gazelor cu efect de seră și celor care afectează stratul de ozon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calitatea aerului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calitatea și cantitatea apei și resurselor acvatice, inclusiv a apei potabile și de alt gen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biodiversitatea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flora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fauna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peisajele naturale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starea și resursele solului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producerea și reciclarea deșeurilor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utilizarea eficientă a resurselor regenerabile și neregenerabile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consumul și producția durabilă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intensitatea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eficiența și performanța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bunăstarea animalelor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riscuri majore pentru mediu (incendii, explozii, accidente etc.)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lastRenderedPageBreak/>
              <w:t>utilizarea terenurilor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r w:rsidR="00FB609F" w:rsidRPr="00FC23C1"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FC23C1" w:rsidRDefault="00F62480" w:rsidP="00D1740D">
            <w:pPr>
              <w:rPr>
                <w:lang w:val="ro-RO"/>
              </w:rPr>
            </w:pPr>
            <w:r w:rsidRPr="00FC23C1">
              <w:rPr>
                <w:lang w:val="ro-RO"/>
              </w:rPr>
              <w:t>alte aspecte 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FC23C1" w:rsidRDefault="00F62480" w:rsidP="00D1740D">
            <w:pPr>
              <w:rPr>
                <w:lang w:val="ro-RO"/>
              </w:rPr>
            </w:pPr>
            <w:r w:rsidRPr="00FC23C1">
              <w:rPr>
                <w:lang w:val="ro-RO"/>
              </w:rPr>
              <w:t> </w:t>
            </w:r>
          </w:p>
        </w:tc>
      </w:tr>
    </w:tbl>
    <w:p w:rsidR="00FC23C1" w:rsidRDefault="00FC23C1" w:rsidP="00D1740D">
      <w:pPr>
        <w:jc w:val="both"/>
        <w:rPr>
          <w:i/>
          <w:lang w:val="ro-RO"/>
        </w:rPr>
      </w:pPr>
    </w:p>
    <w:p w:rsidR="00FB609F" w:rsidRPr="00FC23C1" w:rsidRDefault="00F62480" w:rsidP="00FC23C1">
      <w:pPr>
        <w:ind w:left="-284" w:firstLine="284"/>
        <w:jc w:val="both"/>
        <w:rPr>
          <w:lang w:val="ro-RO"/>
        </w:rPr>
      </w:pPr>
      <w:r w:rsidRPr="00FC23C1">
        <w:rPr>
          <w:i/>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FC23C1">
        <w:rPr>
          <w:i/>
          <w:vertAlign w:val="superscript"/>
          <w:lang w:val="ro-RO"/>
        </w:rPr>
        <w:t>1</w:t>
      </w:r>
      <w:r w:rsidRPr="00FC23C1">
        <w:rPr>
          <w:i/>
          <w:lang w:val="ro-RO"/>
        </w:rPr>
        <w:t>) și, după caz,  b</w:t>
      </w:r>
      <w:r w:rsidRPr="00FC23C1">
        <w:rPr>
          <w:i/>
          <w:vertAlign w:val="superscript"/>
          <w:lang w:val="ro-RO"/>
        </w:rPr>
        <w:t>2</w:t>
      </w:r>
      <w:r w:rsidRPr="00FC23C1">
        <w:rPr>
          <w:i/>
          <w:lang w:val="ro-RO"/>
        </w:rPr>
        <w:t>), privind analiza impacturilor opțiunilor.</w:t>
      </w:r>
    </w:p>
    <w:p w:rsidR="00FB609F" w:rsidRPr="00FC23C1" w:rsidRDefault="00FB609F" w:rsidP="00D1740D">
      <w:pPr>
        <w:rPr>
          <w:lang w:val="ro-RO"/>
        </w:rPr>
      </w:pPr>
    </w:p>
    <w:p w:rsidR="00FB609F" w:rsidRPr="00FC23C1" w:rsidRDefault="00FB609F" w:rsidP="00D1740D">
      <w:pPr>
        <w:tabs>
          <w:tab w:val="left" w:pos="0"/>
          <w:tab w:val="left" w:pos="284"/>
        </w:tabs>
        <w:jc w:val="both"/>
        <w:rPr>
          <w:highlight w:val="yellow"/>
          <w:lang w:val="ro-RO"/>
        </w:rPr>
      </w:pPr>
    </w:p>
    <w:p w:rsidR="001776C9" w:rsidRPr="00FC23C1" w:rsidRDefault="001776C9" w:rsidP="00D1740D">
      <w:pPr>
        <w:tabs>
          <w:tab w:val="left" w:pos="0"/>
          <w:tab w:val="left" w:pos="284"/>
        </w:tabs>
        <w:jc w:val="both"/>
        <w:rPr>
          <w:highlight w:val="yellow"/>
          <w:lang w:val="ro-RO"/>
        </w:rPr>
      </w:pPr>
    </w:p>
    <w:sectPr w:rsidR="001776C9" w:rsidRPr="00FC23C1" w:rsidSect="00885D20">
      <w:footerReference w:type="even" r:id="rId10"/>
      <w:footerReference w:type="default" r:id="rId11"/>
      <w:pgSz w:w="11906" w:h="16838"/>
      <w:pgMar w:top="1134"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86" w:rsidRDefault="00561586">
      <w:r>
        <w:separator/>
      </w:r>
    </w:p>
  </w:endnote>
  <w:endnote w:type="continuationSeparator" w:id="0">
    <w:p w:rsidR="00561586" w:rsidRDefault="0056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altName w:val="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51" w:rsidRDefault="005F6951">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5F6951" w:rsidRDefault="005F6951">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51" w:rsidRDefault="005F6951">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37972">
      <w:rPr>
        <w:noProof/>
        <w:color w:val="000000"/>
      </w:rPr>
      <w:t>8</w:t>
    </w:r>
    <w:r>
      <w:rPr>
        <w:color w:val="000000"/>
      </w:rPr>
      <w:fldChar w:fldCharType="end"/>
    </w:r>
  </w:p>
  <w:p w:rsidR="005F6951" w:rsidRDefault="005F6951">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86" w:rsidRDefault="00561586">
      <w:r>
        <w:separator/>
      </w:r>
    </w:p>
  </w:footnote>
  <w:footnote w:type="continuationSeparator" w:id="0">
    <w:p w:rsidR="00561586" w:rsidRDefault="005615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3004FEE"/>
    <w:multiLevelType w:val="hybridMultilevel"/>
    <w:tmpl w:val="38823B80"/>
    <w:lvl w:ilvl="0" w:tplc="663A279C">
      <w:start w:val="1"/>
      <w:numFmt w:val="decimal"/>
      <w:lvlText w:val="%1."/>
      <w:lvlJc w:val="left"/>
      <w:pPr>
        <w:ind w:left="951" w:hanging="360"/>
      </w:pPr>
      <w:rPr>
        <w:rFonts w:hint="default"/>
      </w:rPr>
    </w:lvl>
    <w:lvl w:ilvl="1" w:tplc="04190019" w:tentative="1">
      <w:start w:val="1"/>
      <w:numFmt w:val="lowerLetter"/>
      <w:lvlText w:val="%2."/>
      <w:lvlJc w:val="left"/>
      <w:pPr>
        <w:ind w:left="1671" w:hanging="360"/>
      </w:pPr>
    </w:lvl>
    <w:lvl w:ilvl="2" w:tplc="0419001B" w:tentative="1">
      <w:start w:val="1"/>
      <w:numFmt w:val="lowerRoman"/>
      <w:lvlText w:val="%3."/>
      <w:lvlJc w:val="right"/>
      <w:pPr>
        <w:ind w:left="2391" w:hanging="180"/>
      </w:pPr>
    </w:lvl>
    <w:lvl w:ilvl="3" w:tplc="0419000F" w:tentative="1">
      <w:start w:val="1"/>
      <w:numFmt w:val="decimal"/>
      <w:lvlText w:val="%4."/>
      <w:lvlJc w:val="left"/>
      <w:pPr>
        <w:ind w:left="3111" w:hanging="360"/>
      </w:pPr>
    </w:lvl>
    <w:lvl w:ilvl="4" w:tplc="04190019" w:tentative="1">
      <w:start w:val="1"/>
      <w:numFmt w:val="lowerLetter"/>
      <w:lvlText w:val="%5."/>
      <w:lvlJc w:val="left"/>
      <w:pPr>
        <w:ind w:left="3831" w:hanging="360"/>
      </w:pPr>
    </w:lvl>
    <w:lvl w:ilvl="5" w:tplc="0419001B" w:tentative="1">
      <w:start w:val="1"/>
      <w:numFmt w:val="lowerRoman"/>
      <w:lvlText w:val="%6."/>
      <w:lvlJc w:val="right"/>
      <w:pPr>
        <w:ind w:left="4551" w:hanging="180"/>
      </w:pPr>
    </w:lvl>
    <w:lvl w:ilvl="6" w:tplc="0419000F" w:tentative="1">
      <w:start w:val="1"/>
      <w:numFmt w:val="decimal"/>
      <w:lvlText w:val="%7."/>
      <w:lvlJc w:val="left"/>
      <w:pPr>
        <w:ind w:left="5271" w:hanging="360"/>
      </w:pPr>
    </w:lvl>
    <w:lvl w:ilvl="7" w:tplc="04190019" w:tentative="1">
      <w:start w:val="1"/>
      <w:numFmt w:val="lowerLetter"/>
      <w:lvlText w:val="%8."/>
      <w:lvlJc w:val="left"/>
      <w:pPr>
        <w:ind w:left="5991" w:hanging="360"/>
      </w:pPr>
    </w:lvl>
    <w:lvl w:ilvl="8" w:tplc="0419001B" w:tentative="1">
      <w:start w:val="1"/>
      <w:numFmt w:val="lowerRoman"/>
      <w:lvlText w:val="%9."/>
      <w:lvlJc w:val="right"/>
      <w:pPr>
        <w:ind w:left="6711" w:hanging="180"/>
      </w:pPr>
    </w:lvl>
  </w:abstractNum>
  <w:abstractNum w:abstractNumId="2" w15:restartNumberingAfterBreak="0">
    <w:nsid w:val="0CF5470C"/>
    <w:multiLevelType w:val="multilevel"/>
    <w:tmpl w:val="D3BE9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BF2DDB"/>
    <w:multiLevelType w:val="hybridMultilevel"/>
    <w:tmpl w:val="0652D1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EB5BE6"/>
    <w:multiLevelType w:val="hybridMultilevel"/>
    <w:tmpl w:val="F3E4F5EC"/>
    <w:lvl w:ilvl="0" w:tplc="6A34C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B7C4F"/>
    <w:multiLevelType w:val="hybridMultilevel"/>
    <w:tmpl w:val="6B4A7788"/>
    <w:lvl w:ilvl="0" w:tplc="0809000F">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61101"/>
    <w:multiLevelType w:val="hybridMultilevel"/>
    <w:tmpl w:val="DF762E24"/>
    <w:lvl w:ilvl="0" w:tplc="7FA8E5AE">
      <w:start w:val="1"/>
      <w:numFmt w:val="bullet"/>
      <w:lvlText w:val="-"/>
      <w:lvlJc w:val="left"/>
      <w:pPr>
        <w:ind w:left="951" w:hanging="360"/>
      </w:pPr>
      <w:rPr>
        <w:rFonts w:ascii="Times New Roman" w:eastAsia="Times New Roman" w:hAnsi="Times New Roman" w:cs="Times New Roman"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7" w15:restartNumberingAfterBreak="0">
    <w:nsid w:val="61013E7C"/>
    <w:multiLevelType w:val="hybridMultilevel"/>
    <w:tmpl w:val="A24826AA"/>
    <w:lvl w:ilvl="0" w:tplc="6A34C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F7572C"/>
    <w:multiLevelType w:val="hybridMultilevel"/>
    <w:tmpl w:val="EC40F48E"/>
    <w:lvl w:ilvl="0" w:tplc="08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9" w15:restartNumberingAfterBreak="0">
    <w:nsid w:val="67100F4F"/>
    <w:multiLevelType w:val="hybridMultilevel"/>
    <w:tmpl w:val="B0FE712C"/>
    <w:lvl w:ilvl="0" w:tplc="3E8E231A">
      <w:start w:val="1"/>
      <w:numFmt w:val="decimal"/>
      <w:lvlText w:val="%1."/>
      <w:lvlJc w:val="left"/>
      <w:pPr>
        <w:ind w:left="3763" w:hanging="360"/>
      </w:pPr>
      <w:rPr>
        <w:b/>
      </w:rPr>
    </w:lvl>
    <w:lvl w:ilvl="1" w:tplc="04190017">
      <w:start w:val="1"/>
      <w:numFmt w:val="lowerLetter"/>
      <w:lvlText w:val="%2)"/>
      <w:lvlJc w:val="left"/>
      <w:pPr>
        <w:ind w:left="50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B464BB"/>
    <w:multiLevelType w:val="multilevel"/>
    <w:tmpl w:val="7174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6"/>
  </w:num>
  <w:num w:numId="4">
    <w:abstractNumId w:val="1"/>
  </w:num>
  <w:num w:numId="5">
    <w:abstractNumId w:val="3"/>
  </w:num>
  <w:num w:numId="6">
    <w:abstractNumId w:val="5"/>
  </w:num>
  <w:num w:numId="7">
    <w:abstractNumId w:val="0"/>
  </w:num>
  <w:num w:numId="8">
    <w:abstractNumId w:val="8"/>
  </w:num>
  <w:num w:numId="9">
    <w:abstractNumId w:val="4"/>
  </w:num>
  <w:num w:numId="10">
    <w:abstractNumId w:val="7"/>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F"/>
    <w:rsid w:val="00003036"/>
    <w:rsid w:val="00011EA1"/>
    <w:rsid w:val="00016D4C"/>
    <w:rsid w:val="00020782"/>
    <w:rsid w:val="0002437C"/>
    <w:rsid w:val="00033104"/>
    <w:rsid w:val="00036ABE"/>
    <w:rsid w:val="00040748"/>
    <w:rsid w:val="00041127"/>
    <w:rsid w:val="00055B43"/>
    <w:rsid w:val="00063283"/>
    <w:rsid w:val="000675AC"/>
    <w:rsid w:val="00070D63"/>
    <w:rsid w:val="00072D2A"/>
    <w:rsid w:val="00073181"/>
    <w:rsid w:val="0008030C"/>
    <w:rsid w:val="00094920"/>
    <w:rsid w:val="000B4806"/>
    <w:rsid w:val="000C2758"/>
    <w:rsid w:val="000C47C8"/>
    <w:rsid w:val="000C6E3E"/>
    <w:rsid w:val="000D07B8"/>
    <w:rsid w:val="000D22F5"/>
    <w:rsid w:val="000E381C"/>
    <w:rsid w:val="000F76D9"/>
    <w:rsid w:val="0010028A"/>
    <w:rsid w:val="00104B93"/>
    <w:rsid w:val="00112F86"/>
    <w:rsid w:val="00127CC8"/>
    <w:rsid w:val="0013232C"/>
    <w:rsid w:val="00135D0B"/>
    <w:rsid w:val="00135F54"/>
    <w:rsid w:val="001414BE"/>
    <w:rsid w:val="00151CAA"/>
    <w:rsid w:val="00173568"/>
    <w:rsid w:val="00174233"/>
    <w:rsid w:val="001776C9"/>
    <w:rsid w:val="00177F84"/>
    <w:rsid w:val="00180847"/>
    <w:rsid w:val="001A242B"/>
    <w:rsid w:val="001A40A0"/>
    <w:rsid w:val="001A7F6D"/>
    <w:rsid w:val="001B6D65"/>
    <w:rsid w:val="001C3DCE"/>
    <w:rsid w:val="001F5DC0"/>
    <w:rsid w:val="00205A53"/>
    <w:rsid w:val="002129D2"/>
    <w:rsid w:val="00214AAB"/>
    <w:rsid w:val="00224639"/>
    <w:rsid w:val="00232956"/>
    <w:rsid w:val="00234106"/>
    <w:rsid w:val="00253495"/>
    <w:rsid w:val="00253CAA"/>
    <w:rsid w:val="00260641"/>
    <w:rsid w:val="0026552B"/>
    <w:rsid w:val="00266C98"/>
    <w:rsid w:val="00266E28"/>
    <w:rsid w:val="00272126"/>
    <w:rsid w:val="00280292"/>
    <w:rsid w:val="002833EC"/>
    <w:rsid w:val="002843A7"/>
    <w:rsid w:val="00294B37"/>
    <w:rsid w:val="002A3A9A"/>
    <w:rsid w:val="002A6AA5"/>
    <w:rsid w:val="002D3A81"/>
    <w:rsid w:val="002D3F22"/>
    <w:rsid w:val="002D4AE0"/>
    <w:rsid w:val="002E3C08"/>
    <w:rsid w:val="002E5F88"/>
    <w:rsid w:val="002E65A7"/>
    <w:rsid w:val="002E7C69"/>
    <w:rsid w:val="002F190E"/>
    <w:rsid w:val="002F5B71"/>
    <w:rsid w:val="002F6F15"/>
    <w:rsid w:val="002F7141"/>
    <w:rsid w:val="00317F05"/>
    <w:rsid w:val="00331184"/>
    <w:rsid w:val="00341CB2"/>
    <w:rsid w:val="003433B4"/>
    <w:rsid w:val="00346711"/>
    <w:rsid w:val="00371F7A"/>
    <w:rsid w:val="003723CA"/>
    <w:rsid w:val="00380BCB"/>
    <w:rsid w:val="00383EC6"/>
    <w:rsid w:val="003925CC"/>
    <w:rsid w:val="0039651F"/>
    <w:rsid w:val="003B4023"/>
    <w:rsid w:val="003D24EC"/>
    <w:rsid w:val="003D63D4"/>
    <w:rsid w:val="003E16C4"/>
    <w:rsid w:val="003F3B4B"/>
    <w:rsid w:val="00405EE1"/>
    <w:rsid w:val="004159C6"/>
    <w:rsid w:val="004167B8"/>
    <w:rsid w:val="00417A57"/>
    <w:rsid w:val="00422F62"/>
    <w:rsid w:val="00423AFF"/>
    <w:rsid w:val="0042576C"/>
    <w:rsid w:val="00426895"/>
    <w:rsid w:val="00426CDB"/>
    <w:rsid w:val="00436DC9"/>
    <w:rsid w:val="00437972"/>
    <w:rsid w:val="004420E0"/>
    <w:rsid w:val="00471C9D"/>
    <w:rsid w:val="00475802"/>
    <w:rsid w:val="00485660"/>
    <w:rsid w:val="00492BFC"/>
    <w:rsid w:val="004930C9"/>
    <w:rsid w:val="004B4AA6"/>
    <w:rsid w:val="004B784D"/>
    <w:rsid w:val="004C53CD"/>
    <w:rsid w:val="004D1393"/>
    <w:rsid w:val="004D31D3"/>
    <w:rsid w:val="004D3E4E"/>
    <w:rsid w:val="004D5812"/>
    <w:rsid w:val="004D6A92"/>
    <w:rsid w:val="004D6EEE"/>
    <w:rsid w:val="004E7959"/>
    <w:rsid w:val="004F084B"/>
    <w:rsid w:val="004F60E7"/>
    <w:rsid w:val="00504C69"/>
    <w:rsid w:val="005138F8"/>
    <w:rsid w:val="005223F5"/>
    <w:rsid w:val="005245EB"/>
    <w:rsid w:val="005400A4"/>
    <w:rsid w:val="0054677E"/>
    <w:rsid w:val="005559D6"/>
    <w:rsid w:val="00557212"/>
    <w:rsid w:val="00561586"/>
    <w:rsid w:val="0057357A"/>
    <w:rsid w:val="00580102"/>
    <w:rsid w:val="005859A0"/>
    <w:rsid w:val="00591330"/>
    <w:rsid w:val="005957B6"/>
    <w:rsid w:val="005A2AD7"/>
    <w:rsid w:val="005A68DE"/>
    <w:rsid w:val="005B5B41"/>
    <w:rsid w:val="005C13E6"/>
    <w:rsid w:val="005E296F"/>
    <w:rsid w:val="005E575F"/>
    <w:rsid w:val="005F6951"/>
    <w:rsid w:val="005F6C15"/>
    <w:rsid w:val="0061275E"/>
    <w:rsid w:val="00625808"/>
    <w:rsid w:val="006272EA"/>
    <w:rsid w:val="00631C46"/>
    <w:rsid w:val="00637F7D"/>
    <w:rsid w:val="00641D65"/>
    <w:rsid w:val="006437E9"/>
    <w:rsid w:val="006479A9"/>
    <w:rsid w:val="00647BBE"/>
    <w:rsid w:val="006500EF"/>
    <w:rsid w:val="006602B4"/>
    <w:rsid w:val="006625A2"/>
    <w:rsid w:val="006703A2"/>
    <w:rsid w:val="00674D89"/>
    <w:rsid w:val="0067515B"/>
    <w:rsid w:val="0068125B"/>
    <w:rsid w:val="0068203F"/>
    <w:rsid w:val="006A428A"/>
    <w:rsid w:val="006B300B"/>
    <w:rsid w:val="006C6B93"/>
    <w:rsid w:val="006D01D5"/>
    <w:rsid w:val="006D0DAB"/>
    <w:rsid w:val="006D1226"/>
    <w:rsid w:val="006E1309"/>
    <w:rsid w:val="00700D54"/>
    <w:rsid w:val="00704300"/>
    <w:rsid w:val="007065BB"/>
    <w:rsid w:val="00716F4C"/>
    <w:rsid w:val="007178D6"/>
    <w:rsid w:val="00731019"/>
    <w:rsid w:val="00732FFB"/>
    <w:rsid w:val="00735C15"/>
    <w:rsid w:val="00737484"/>
    <w:rsid w:val="0074174A"/>
    <w:rsid w:val="00746A12"/>
    <w:rsid w:val="007518FD"/>
    <w:rsid w:val="00754F27"/>
    <w:rsid w:val="00755EB5"/>
    <w:rsid w:val="007645B0"/>
    <w:rsid w:val="00770430"/>
    <w:rsid w:val="00773970"/>
    <w:rsid w:val="0077640B"/>
    <w:rsid w:val="00776B7C"/>
    <w:rsid w:val="007920FA"/>
    <w:rsid w:val="007A089E"/>
    <w:rsid w:val="007A29EB"/>
    <w:rsid w:val="007A2BC7"/>
    <w:rsid w:val="007A783F"/>
    <w:rsid w:val="007B0CF4"/>
    <w:rsid w:val="007B2D12"/>
    <w:rsid w:val="007C22DB"/>
    <w:rsid w:val="007C47D4"/>
    <w:rsid w:val="007C5365"/>
    <w:rsid w:val="007C5FC4"/>
    <w:rsid w:val="007C7120"/>
    <w:rsid w:val="007D3687"/>
    <w:rsid w:val="007E04B6"/>
    <w:rsid w:val="007E10B6"/>
    <w:rsid w:val="007E56DF"/>
    <w:rsid w:val="007F0C33"/>
    <w:rsid w:val="007F282C"/>
    <w:rsid w:val="007F340F"/>
    <w:rsid w:val="00804A7F"/>
    <w:rsid w:val="0082002B"/>
    <w:rsid w:val="008209AA"/>
    <w:rsid w:val="0082549A"/>
    <w:rsid w:val="00827437"/>
    <w:rsid w:val="00835584"/>
    <w:rsid w:val="0084283F"/>
    <w:rsid w:val="0084540C"/>
    <w:rsid w:val="00846B53"/>
    <w:rsid w:val="00846E4D"/>
    <w:rsid w:val="008504C1"/>
    <w:rsid w:val="008507D8"/>
    <w:rsid w:val="00852BDF"/>
    <w:rsid w:val="008530CD"/>
    <w:rsid w:val="00864A62"/>
    <w:rsid w:val="0086581A"/>
    <w:rsid w:val="00873A82"/>
    <w:rsid w:val="00875176"/>
    <w:rsid w:val="00876C1F"/>
    <w:rsid w:val="00883DCC"/>
    <w:rsid w:val="008843EB"/>
    <w:rsid w:val="00885D20"/>
    <w:rsid w:val="00893223"/>
    <w:rsid w:val="00896F81"/>
    <w:rsid w:val="008B22B5"/>
    <w:rsid w:val="008B3A51"/>
    <w:rsid w:val="008B61E7"/>
    <w:rsid w:val="008C3872"/>
    <w:rsid w:val="008C7E34"/>
    <w:rsid w:val="008D1151"/>
    <w:rsid w:val="008D62F0"/>
    <w:rsid w:val="008F161C"/>
    <w:rsid w:val="008F19DE"/>
    <w:rsid w:val="008F238A"/>
    <w:rsid w:val="008F39F8"/>
    <w:rsid w:val="00901B14"/>
    <w:rsid w:val="0091227D"/>
    <w:rsid w:val="009154B0"/>
    <w:rsid w:val="00916ABF"/>
    <w:rsid w:val="00916DCA"/>
    <w:rsid w:val="009205B8"/>
    <w:rsid w:val="00924FB3"/>
    <w:rsid w:val="00925B32"/>
    <w:rsid w:val="00926825"/>
    <w:rsid w:val="009311EA"/>
    <w:rsid w:val="009356E4"/>
    <w:rsid w:val="00935DD6"/>
    <w:rsid w:val="009400AA"/>
    <w:rsid w:val="00940A05"/>
    <w:rsid w:val="00943813"/>
    <w:rsid w:val="00950B53"/>
    <w:rsid w:val="009513C7"/>
    <w:rsid w:val="00951AC7"/>
    <w:rsid w:val="009654E2"/>
    <w:rsid w:val="009718B6"/>
    <w:rsid w:val="00974401"/>
    <w:rsid w:val="00974DD6"/>
    <w:rsid w:val="00975247"/>
    <w:rsid w:val="00976609"/>
    <w:rsid w:val="00983075"/>
    <w:rsid w:val="00986FB8"/>
    <w:rsid w:val="009903F3"/>
    <w:rsid w:val="00990A21"/>
    <w:rsid w:val="009916E3"/>
    <w:rsid w:val="00993D39"/>
    <w:rsid w:val="009A0F06"/>
    <w:rsid w:val="009A58A8"/>
    <w:rsid w:val="009D4325"/>
    <w:rsid w:val="009D488C"/>
    <w:rsid w:val="009D7755"/>
    <w:rsid w:val="009E4E1F"/>
    <w:rsid w:val="009E534F"/>
    <w:rsid w:val="00A03126"/>
    <w:rsid w:val="00A0493D"/>
    <w:rsid w:val="00A05508"/>
    <w:rsid w:val="00A20599"/>
    <w:rsid w:val="00A20E2B"/>
    <w:rsid w:val="00A273AD"/>
    <w:rsid w:val="00A31449"/>
    <w:rsid w:val="00A33807"/>
    <w:rsid w:val="00A456F6"/>
    <w:rsid w:val="00A47494"/>
    <w:rsid w:val="00A50367"/>
    <w:rsid w:val="00A52017"/>
    <w:rsid w:val="00A54FFC"/>
    <w:rsid w:val="00A5739D"/>
    <w:rsid w:val="00A6515D"/>
    <w:rsid w:val="00A73675"/>
    <w:rsid w:val="00A73DE8"/>
    <w:rsid w:val="00A809D1"/>
    <w:rsid w:val="00A81F39"/>
    <w:rsid w:val="00AA0DB3"/>
    <w:rsid w:val="00AB22A2"/>
    <w:rsid w:val="00AB4DD8"/>
    <w:rsid w:val="00AC095D"/>
    <w:rsid w:val="00AC1523"/>
    <w:rsid w:val="00AD2D2E"/>
    <w:rsid w:val="00AD3448"/>
    <w:rsid w:val="00AD5350"/>
    <w:rsid w:val="00AF348D"/>
    <w:rsid w:val="00B057C5"/>
    <w:rsid w:val="00B06446"/>
    <w:rsid w:val="00B16E23"/>
    <w:rsid w:val="00B20B2F"/>
    <w:rsid w:val="00B23B1B"/>
    <w:rsid w:val="00B24C8C"/>
    <w:rsid w:val="00B266E1"/>
    <w:rsid w:val="00B339F4"/>
    <w:rsid w:val="00B3593D"/>
    <w:rsid w:val="00B42BB8"/>
    <w:rsid w:val="00B43B05"/>
    <w:rsid w:val="00B44A12"/>
    <w:rsid w:val="00B50BBC"/>
    <w:rsid w:val="00B64B11"/>
    <w:rsid w:val="00B663CF"/>
    <w:rsid w:val="00B67C69"/>
    <w:rsid w:val="00B7213A"/>
    <w:rsid w:val="00B74548"/>
    <w:rsid w:val="00B8156D"/>
    <w:rsid w:val="00B93694"/>
    <w:rsid w:val="00B97768"/>
    <w:rsid w:val="00BA1989"/>
    <w:rsid w:val="00BA2731"/>
    <w:rsid w:val="00BA767B"/>
    <w:rsid w:val="00BB02A1"/>
    <w:rsid w:val="00BB182C"/>
    <w:rsid w:val="00BB1AB7"/>
    <w:rsid w:val="00BD1202"/>
    <w:rsid w:val="00BD4A5E"/>
    <w:rsid w:val="00BD4B95"/>
    <w:rsid w:val="00BE0371"/>
    <w:rsid w:val="00BE36A2"/>
    <w:rsid w:val="00BE6B3C"/>
    <w:rsid w:val="00BE757F"/>
    <w:rsid w:val="00BF31D2"/>
    <w:rsid w:val="00C03671"/>
    <w:rsid w:val="00C16FA9"/>
    <w:rsid w:val="00C234E9"/>
    <w:rsid w:val="00C269B4"/>
    <w:rsid w:val="00C27B0E"/>
    <w:rsid w:val="00C43F10"/>
    <w:rsid w:val="00C50851"/>
    <w:rsid w:val="00C62A95"/>
    <w:rsid w:val="00C63A4C"/>
    <w:rsid w:val="00C72553"/>
    <w:rsid w:val="00C759BC"/>
    <w:rsid w:val="00C7741A"/>
    <w:rsid w:val="00C84E1C"/>
    <w:rsid w:val="00C87D55"/>
    <w:rsid w:val="00C96A41"/>
    <w:rsid w:val="00CC0B21"/>
    <w:rsid w:val="00CC3BB5"/>
    <w:rsid w:val="00CD00F8"/>
    <w:rsid w:val="00CD452D"/>
    <w:rsid w:val="00CE0753"/>
    <w:rsid w:val="00CE0B2F"/>
    <w:rsid w:val="00CE2455"/>
    <w:rsid w:val="00CE330C"/>
    <w:rsid w:val="00CF7058"/>
    <w:rsid w:val="00CF7D05"/>
    <w:rsid w:val="00D07136"/>
    <w:rsid w:val="00D10219"/>
    <w:rsid w:val="00D102FE"/>
    <w:rsid w:val="00D1199B"/>
    <w:rsid w:val="00D1740D"/>
    <w:rsid w:val="00D2379B"/>
    <w:rsid w:val="00D27373"/>
    <w:rsid w:val="00D30AD1"/>
    <w:rsid w:val="00D40F08"/>
    <w:rsid w:val="00D42181"/>
    <w:rsid w:val="00D47116"/>
    <w:rsid w:val="00D55484"/>
    <w:rsid w:val="00D66A4C"/>
    <w:rsid w:val="00D745CC"/>
    <w:rsid w:val="00D7492A"/>
    <w:rsid w:val="00D76A64"/>
    <w:rsid w:val="00D90DB4"/>
    <w:rsid w:val="00D91842"/>
    <w:rsid w:val="00D91E1D"/>
    <w:rsid w:val="00D92CFE"/>
    <w:rsid w:val="00DA4806"/>
    <w:rsid w:val="00DB2341"/>
    <w:rsid w:val="00DB5828"/>
    <w:rsid w:val="00DC003D"/>
    <w:rsid w:val="00DC2B0C"/>
    <w:rsid w:val="00DC782F"/>
    <w:rsid w:val="00DC791A"/>
    <w:rsid w:val="00DD1419"/>
    <w:rsid w:val="00DD182A"/>
    <w:rsid w:val="00DD6767"/>
    <w:rsid w:val="00DE48BF"/>
    <w:rsid w:val="00DE6EB6"/>
    <w:rsid w:val="00E10275"/>
    <w:rsid w:val="00E12EBE"/>
    <w:rsid w:val="00E137EF"/>
    <w:rsid w:val="00E13FA8"/>
    <w:rsid w:val="00E17D0B"/>
    <w:rsid w:val="00E20A4F"/>
    <w:rsid w:val="00E31CD4"/>
    <w:rsid w:val="00E40D98"/>
    <w:rsid w:val="00E43612"/>
    <w:rsid w:val="00E47285"/>
    <w:rsid w:val="00E47B8B"/>
    <w:rsid w:val="00E54519"/>
    <w:rsid w:val="00E5517A"/>
    <w:rsid w:val="00E553BB"/>
    <w:rsid w:val="00E5740B"/>
    <w:rsid w:val="00E71520"/>
    <w:rsid w:val="00E77119"/>
    <w:rsid w:val="00E81A0A"/>
    <w:rsid w:val="00E851EB"/>
    <w:rsid w:val="00E865B1"/>
    <w:rsid w:val="00EA524B"/>
    <w:rsid w:val="00EC0344"/>
    <w:rsid w:val="00EC69F0"/>
    <w:rsid w:val="00EC7E50"/>
    <w:rsid w:val="00ED4B2D"/>
    <w:rsid w:val="00ED5186"/>
    <w:rsid w:val="00EE2427"/>
    <w:rsid w:val="00EE2E91"/>
    <w:rsid w:val="00EE780B"/>
    <w:rsid w:val="00EF116A"/>
    <w:rsid w:val="00F04EE4"/>
    <w:rsid w:val="00F065C0"/>
    <w:rsid w:val="00F07396"/>
    <w:rsid w:val="00F1041C"/>
    <w:rsid w:val="00F2645C"/>
    <w:rsid w:val="00F26B9E"/>
    <w:rsid w:val="00F45488"/>
    <w:rsid w:val="00F51FFD"/>
    <w:rsid w:val="00F527D6"/>
    <w:rsid w:val="00F56A77"/>
    <w:rsid w:val="00F62480"/>
    <w:rsid w:val="00F66845"/>
    <w:rsid w:val="00F72217"/>
    <w:rsid w:val="00F841B3"/>
    <w:rsid w:val="00F848FF"/>
    <w:rsid w:val="00F86D81"/>
    <w:rsid w:val="00F91ACE"/>
    <w:rsid w:val="00F91F11"/>
    <w:rsid w:val="00FA2D7F"/>
    <w:rsid w:val="00FB24DE"/>
    <w:rsid w:val="00FB2DA9"/>
    <w:rsid w:val="00FB609F"/>
    <w:rsid w:val="00FB6E4C"/>
    <w:rsid w:val="00FB6F28"/>
    <w:rsid w:val="00FB7711"/>
    <w:rsid w:val="00FC23C1"/>
    <w:rsid w:val="00FC2CBA"/>
    <w:rsid w:val="00FC7EFA"/>
    <w:rsid w:val="00FD551C"/>
    <w:rsid w:val="00FD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A9B4"/>
  <w15:docId w15:val="{4F46ACEF-F242-4407-AB71-4128EB13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MD"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E0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86D"/>
    <w:rPr>
      <w:rFonts w:ascii="Segoe UI" w:hAnsi="Segoe UI" w:cs="Segoe UI"/>
      <w:sz w:val="18"/>
      <w:szCs w:val="18"/>
    </w:rPr>
  </w:style>
  <w:style w:type="paragraph" w:styleId="ListParagraph">
    <w:name w:val="List Paragraph"/>
    <w:aliases w:val="En tête 1,Normal bullet 2,Antes de enumeración,Párrafo de lista1,Bullet list,List Paragraph1,Paragraphe de liste PBLH,List Paragraph (numbered (a)),Bullet List,Graph &amp; Table tite,Bullet Points,Liste Paragraf,Bullet OFM,Citation List,Bulle"/>
    <w:basedOn w:val="Normal"/>
    <w:link w:val="ListParagraphChar"/>
    <w:uiPriority w:val="34"/>
    <w:qFormat/>
    <w:rsid w:val="007F1970"/>
    <w:pPr>
      <w:ind w:left="720"/>
      <w:contextualSpacing/>
    </w:pPr>
  </w:style>
  <w:style w:type="table" w:styleId="TableGrid">
    <w:name w:val="Table Grid"/>
    <w:basedOn w:val="TableNormal"/>
    <w:uiPriority w:val="59"/>
    <w:rsid w:val="0055272A"/>
    <w:rPr>
      <w:rFonts w:ascii="Calibri" w:eastAsia="Calibri" w:hAnsi="Calibri"/>
      <w:sz w:val="22"/>
      <w:szCs w:val="22"/>
      <w:lang w:val="ru-M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En tête 1 Char,Normal bullet 2 Char,Antes de enumeración Char,Párrafo de lista1 Char,Bullet list Char,List Paragraph1 Char,Paragraphe de liste PBLH Char,List Paragraph (numbered (a)) Char,Bullet List Char,Graph &amp; Table tite Char"/>
    <w:link w:val="ListParagraph"/>
    <w:uiPriority w:val="34"/>
    <w:qFormat/>
    <w:locked/>
    <w:rsid w:val="00B663CF"/>
  </w:style>
  <w:style w:type="paragraph" w:styleId="FootnoteText">
    <w:name w:val="footnote text"/>
    <w:basedOn w:val="Normal"/>
    <w:link w:val="FootnoteTextChar1"/>
    <w:uiPriority w:val="99"/>
    <w:unhideWhenUsed/>
    <w:rsid w:val="00E77119"/>
    <w:rPr>
      <w:sz w:val="20"/>
      <w:szCs w:val="20"/>
      <w:lang w:val="en-US" w:eastAsia="en-US"/>
    </w:rPr>
  </w:style>
  <w:style w:type="character" w:customStyle="1" w:styleId="FootnoteTextChar">
    <w:name w:val="Footnote Text Char"/>
    <w:basedOn w:val="DefaultParagraphFont"/>
    <w:uiPriority w:val="99"/>
    <w:semiHidden/>
    <w:rsid w:val="00E77119"/>
    <w:rPr>
      <w:sz w:val="20"/>
      <w:szCs w:val="20"/>
    </w:rPr>
  </w:style>
  <w:style w:type="character" w:customStyle="1" w:styleId="FootnoteTextChar1">
    <w:name w:val="Footnote Text Char1"/>
    <w:basedOn w:val="DefaultParagraphFont"/>
    <w:link w:val="FootnoteText"/>
    <w:uiPriority w:val="99"/>
    <w:rsid w:val="00E77119"/>
    <w:rPr>
      <w:sz w:val="20"/>
      <w:szCs w:val="20"/>
      <w:lang w:val="en-US" w:eastAsia="en-US"/>
    </w:rPr>
  </w:style>
  <w:style w:type="character" w:styleId="FootnoteReference">
    <w:name w:val="footnote reference"/>
    <w:basedOn w:val="DefaultParagraphFont"/>
    <w:unhideWhenUsed/>
    <w:rsid w:val="00E77119"/>
    <w:rPr>
      <w:vertAlign w:val="superscript"/>
    </w:rPr>
  </w:style>
  <w:style w:type="paragraph" w:customStyle="1" w:styleId="Default">
    <w:name w:val="Default"/>
    <w:rsid w:val="00D42181"/>
    <w:pPr>
      <w:autoSpaceDE w:val="0"/>
      <w:autoSpaceDN w:val="0"/>
      <w:adjustRightInd w:val="0"/>
    </w:pPr>
    <w:rPr>
      <w:color w:val="000000"/>
      <w:lang w:val="ru-RU"/>
    </w:rPr>
  </w:style>
  <w:style w:type="paragraph" w:styleId="CommentSubject">
    <w:name w:val="annotation subject"/>
    <w:basedOn w:val="CommentText"/>
    <w:next w:val="CommentText"/>
    <w:link w:val="CommentSubjectChar"/>
    <w:uiPriority w:val="99"/>
    <w:semiHidden/>
    <w:unhideWhenUsed/>
    <w:rsid w:val="006703A2"/>
    <w:rPr>
      <w:b/>
      <w:bCs/>
    </w:rPr>
  </w:style>
  <w:style w:type="character" w:customStyle="1" w:styleId="CommentSubjectChar">
    <w:name w:val="Comment Subject Char"/>
    <w:basedOn w:val="CommentTextChar"/>
    <w:link w:val="CommentSubject"/>
    <w:uiPriority w:val="99"/>
    <w:semiHidden/>
    <w:rsid w:val="006703A2"/>
    <w:rPr>
      <w:b/>
      <w:bCs/>
      <w:sz w:val="20"/>
      <w:szCs w:val="20"/>
    </w:rPr>
  </w:style>
  <w:style w:type="character" w:styleId="Hyperlink">
    <w:name w:val="Hyperlink"/>
    <w:basedOn w:val="DefaultParagraphFont"/>
    <w:uiPriority w:val="99"/>
    <w:unhideWhenUsed/>
    <w:rsid w:val="00232956"/>
    <w:rPr>
      <w:color w:val="0000FF" w:themeColor="hyperlink"/>
      <w:u w:val="single"/>
    </w:rPr>
  </w:style>
  <w:style w:type="character" w:customStyle="1" w:styleId="Heading6Char">
    <w:name w:val="Heading 6 Char"/>
    <w:basedOn w:val="DefaultParagraphFont"/>
    <w:link w:val="Heading6"/>
    <w:rsid w:val="00ED4B2D"/>
    <w:rPr>
      <w:b/>
      <w:sz w:val="20"/>
      <w:szCs w:val="20"/>
    </w:rPr>
  </w:style>
  <w:style w:type="character" w:customStyle="1" w:styleId="Heading2Char">
    <w:name w:val="Heading 2 Char"/>
    <w:link w:val="Heading2"/>
    <w:rsid w:val="004B784D"/>
    <w:rPr>
      <w:b/>
      <w:sz w:val="36"/>
      <w:szCs w:val="36"/>
    </w:rPr>
  </w:style>
  <w:style w:type="paragraph" w:styleId="NormalWeb">
    <w:name w:val="Normal (Web)"/>
    <w:aliases w:val="Знак,webb, Знак"/>
    <w:basedOn w:val="Normal"/>
    <w:link w:val="NormalWebChar"/>
    <w:uiPriority w:val="99"/>
    <w:qFormat/>
    <w:rsid w:val="00D1740D"/>
    <w:pPr>
      <w:ind w:firstLine="567"/>
      <w:jc w:val="both"/>
    </w:pPr>
    <w:rPr>
      <w:lang w:val="ru-RU"/>
    </w:rPr>
  </w:style>
  <w:style w:type="character" w:customStyle="1" w:styleId="NormalWebChar">
    <w:name w:val="Normal (Web) Char"/>
    <w:aliases w:val="Знак Char,webb Char, Знак Char"/>
    <w:link w:val="NormalWeb"/>
    <w:uiPriority w:val="99"/>
    <w:rsid w:val="00D1740D"/>
    <w:rPr>
      <w:lang w:val="ru-RU"/>
    </w:rPr>
  </w:style>
  <w:style w:type="paragraph" w:styleId="NoSpacing">
    <w:name w:val="No Spacing"/>
    <w:uiPriority w:val="1"/>
    <w:qFormat/>
    <w:rsid w:val="005957B6"/>
  </w:style>
  <w:style w:type="paragraph" w:customStyle="1" w:styleId="CharChar">
    <w:name w:val="Знак Char Char"/>
    <w:basedOn w:val="Normal"/>
    <w:next w:val="Normal"/>
    <w:rsid w:val="00C87D55"/>
    <w:pPr>
      <w:spacing w:after="160" w:line="240" w:lineRule="exact"/>
    </w:pPr>
    <w:rPr>
      <w:rFonts w:ascii="Tahoma" w:hAnsi="Tahoma"/>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31563">
      <w:bodyDiv w:val="1"/>
      <w:marLeft w:val="0"/>
      <w:marRight w:val="0"/>
      <w:marTop w:val="0"/>
      <w:marBottom w:val="0"/>
      <w:divBdr>
        <w:top w:val="none" w:sz="0" w:space="0" w:color="auto"/>
        <w:left w:val="none" w:sz="0" w:space="0" w:color="auto"/>
        <w:bottom w:val="none" w:sz="0" w:space="0" w:color="auto"/>
        <w:right w:val="none" w:sz="0" w:space="0" w:color="auto"/>
      </w:divBdr>
    </w:div>
    <w:div w:id="1322662860">
      <w:bodyDiv w:val="1"/>
      <w:marLeft w:val="0"/>
      <w:marRight w:val="0"/>
      <w:marTop w:val="0"/>
      <w:marBottom w:val="0"/>
      <w:divBdr>
        <w:top w:val="none" w:sz="0" w:space="0" w:color="auto"/>
        <w:left w:val="none" w:sz="0" w:space="0" w:color="auto"/>
        <w:bottom w:val="none" w:sz="0" w:space="0" w:color="auto"/>
        <w:right w:val="none" w:sz="0" w:space="0" w:color="auto"/>
      </w:divBdr>
    </w:div>
    <w:div w:id="1517384715">
      <w:bodyDiv w:val="1"/>
      <w:marLeft w:val="0"/>
      <w:marRight w:val="0"/>
      <w:marTop w:val="0"/>
      <w:marBottom w:val="0"/>
      <w:divBdr>
        <w:top w:val="none" w:sz="0" w:space="0" w:color="auto"/>
        <w:left w:val="none" w:sz="0" w:space="0" w:color="auto"/>
        <w:bottom w:val="none" w:sz="0" w:space="0" w:color="auto"/>
        <w:right w:val="none" w:sz="0" w:space="0" w:color="auto"/>
      </w:divBdr>
    </w:div>
    <w:div w:id="1909992832">
      <w:bodyDiv w:val="1"/>
      <w:marLeft w:val="0"/>
      <w:marRight w:val="0"/>
      <w:marTop w:val="0"/>
      <w:marBottom w:val="0"/>
      <w:divBdr>
        <w:top w:val="none" w:sz="0" w:space="0" w:color="auto"/>
        <w:left w:val="none" w:sz="0" w:space="0" w:color="auto"/>
        <w:bottom w:val="none" w:sz="0" w:space="0" w:color="auto"/>
        <w:right w:val="none" w:sz="0" w:space="0" w:color="auto"/>
      </w:divBdr>
    </w:div>
    <w:div w:id="205306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ilescu@anr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xvgJyzo9HxU8+qb/akKRJ90kA==">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C5460C-6405-4FAC-8F55-C482904C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10</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E.S</cp:lastModifiedBy>
  <cp:revision>46</cp:revision>
  <cp:lastPrinted>2019-12-09T07:41:00Z</cp:lastPrinted>
  <dcterms:created xsi:type="dcterms:W3CDTF">2021-12-23T06:48:00Z</dcterms:created>
  <dcterms:modified xsi:type="dcterms:W3CDTF">2022-12-30T10:14:00Z</dcterms:modified>
</cp:coreProperties>
</file>